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435528">
        <w:rPr>
          <w:rFonts w:ascii="Verdana" w:hAnsi="Verdana"/>
          <w:b/>
          <w:sz w:val="18"/>
          <w:szCs w:val="18"/>
        </w:rPr>
        <w:t>12</w:t>
      </w:r>
      <w:r w:rsidR="00954348">
        <w:rPr>
          <w:rFonts w:ascii="Verdana" w:hAnsi="Verdana"/>
          <w:b/>
          <w:sz w:val="18"/>
          <w:szCs w:val="18"/>
        </w:rPr>
        <w:t>8</w:t>
      </w:r>
      <w:r w:rsidR="0092598E">
        <w:rPr>
          <w:rFonts w:ascii="Verdana" w:hAnsi="Verdana"/>
          <w:b/>
          <w:sz w:val="18"/>
          <w:szCs w:val="18"/>
        </w:rPr>
        <w:t>.2025</w:t>
      </w:r>
      <w:r w:rsidR="0095013B" w:rsidRPr="0095013B">
        <w:rPr>
          <w:rFonts w:ascii="Verdana" w:hAnsi="Verdana"/>
          <w:b/>
          <w:sz w:val="18"/>
          <w:szCs w:val="18"/>
        </w:rPr>
        <w:t>.AT.</w:t>
      </w:r>
      <w:r w:rsidR="00D3370E">
        <w:rPr>
          <w:rFonts w:ascii="Verdana" w:hAnsi="Verdana"/>
          <w:b/>
          <w:sz w:val="18"/>
          <w:szCs w:val="18"/>
        </w:rPr>
        <w:t>2</w:t>
      </w:r>
      <w:r w:rsidR="005764C0">
        <w:rPr>
          <w:rFonts w:ascii="Verdana" w:hAnsi="Verdana"/>
          <w:b/>
          <w:sz w:val="18"/>
          <w:szCs w:val="18"/>
        </w:rPr>
        <w:t>1</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5764C0">
        <w:rPr>
          <w:rFonts w:ascii="Verdana" w:hAnsi="Verdana" w:cs="FuturaMdPL-Regular"/>
          <w:b/>
          <w:smallCaps/>
          <w:color w:val="000000"/>
          <w:sz w:val="20"/>
        </w:rPr>
        <w:t>Siewierz</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954348">
        <w:rPr>
          <w:rFonts w:ascii="Verdana" w:hAnsi="Verdana" w:cs="FuturaMdPL-Regular"/>
          <w:sz w:val="18"/>
          <w:szCs w:val="18"/>
        </w:rPr>
        <w:t>128</w:t>
      </w:r>
      <w:r w:rsidR="005764C0">
        <w:rPr>
          <w:rFonts w:ascii="Verdana" w:hAnsi="Verdana" w:cs="FuturaMdPL-Regular"/>
          <w:sz w:val="18"/>
          <w:szCs w:val="18"/>
        </w:rPr>
        <w:t>.2025.AT.20</w:t>
      </w:r>
      <w:r w:rsidRPr="00532259">
        <w:rPr>
          <w:rFonts w:ascii="Verdana" w:hAnsi="Verdana" w:cs="FuturaMdPL-Regular"/>
          <w:sz w:val="18"/>
          <w:szCs w:val="18"/>
        </w:rPr>
        <w:t xml:space="preserve">) przeznaczonej do dzierżawy podany został do publicznej wiadomości poprzez wywieszenie na tablicy ogłoszeń w Urzędzie </w:t>
      </w:r>
      <w:r w:rsidR="005764C0">
        <w:rPr>
          <w:rFonts w:ascii="Verdana" w:hAnsi="Verdana" w:cs="FuturaMdPL-Regular"/>
          <w:sz w:val="18"/>
          <w:szCs w:val="18"/>
        </w:rPr>
        <w:t>Miasta i Gminy Siewierz</w:t>
      </w:r>
      <w:r w:rsidR="00EE2B35">
        <w:rPr>
          <w:rFonts w:ascii="Verdana" w:hAnsi="Verdana" w:cs="FuturaMdPL-Regular"/>
          <w:sz w:val="18"/>
          <w:szCs w:val="18"/>
        </w:rPr>
        <w:t>,</w:t>
      </w:r>
      <w:r w:rsidR="005B2482">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3370E">
        <w:rPr>
          <w:rFonts w:ascii="Verdana" w:hAnsi="Verdana" w:cs="FuturaMdPL-Regular"/>
          <w:b/>
          <w:sz w:val="18"/>
          <w:szCs w:val="18"/>
        </w:rPr>
        <w:t>14.08</w:t>
      </w:r>
      <w:r w:rsidR="00CF61BC">
        <w:rPr>
          <w:rFonts w:ascii="Verdana" w:hAnsi="Verdana" w:cs="FuturaMdPL-Regular"/>
          <w:b/>
          <w:sz w:val="18"/>
          <w:szCs w:val="18"/>
        </w:rPr>
        <w:t>.2025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5226" w:type="dxa"/>
        <w:jc w:val="center"/>
        <w:tblCellMar>
          <w:left w:w="70" w:type="dxa"/>
          <w:right w:w="70" w:type="dxa"/>
        </w:tblCellMar>
        <w:tblLook w:val="04A0" w:firstRow="1" w:lastRow="0" w:firstColumn="1" w:lastColumn="0" w:noHBand="0" w:noVBand="1"/>
      </w:tblPr>
      <w:tblGrid>
        <w:gridCol w:w="341"/>
        <w:gridCol w:w="1020"/>
        <w:gridCol w:w="680"/>
        <w:gridCol w:w="1068"/>
        <w:gridCol w:w="605"/>
        <w:gridCol w:w="760"/>
        <w:gridCol w:w="880"/>
      </w:tblGrid>
      <w:tr w:rsidR="00954348" w:rsidRPr="00954348" w:rsidTr="00954348">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proofErr w:type="spellStart"/>
            <w:r w:rsidRPr="00954348">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obręb</w:t>
            </w:r>
          </w:p>
        </w:tc>
        <w:tc>
          <w:tcPr>
            <w:tcW w:w="680" w:type="dxa"/>
            <w:tcBorders>
              <w:top w:val="single" w:sz="8" w:space="0" w:color="auto"/>
              <w:left w:val="nil"/>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nr dz.</w:t>
            </w:r>
          </w:p>
        </w:tc>
        <w:tc>
          <w:tcPr>
            <w:tcW w:w="1068" w:type="dxa"/>
            <w:tcBorders>
              <w:top w:val="single" w:sz="8" w:space="0" w:color="auto"/>
              <w:left w:val="nil"/>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 xml:space="preserve">pow. </w:t>
            </w:r>
            <w:proofErr w:type="spellStart"/>
            <w:r w:rsidRPr="00954348">
              <w:rPr>
                <w:rFonts w:ascii="Arial Narrow" w:hAnsi="Arial Narrow"/>
                <w:b/>
                <w:bCs/>
                <w:sz w:val="20"/>
              </w:rPr>
              <w:t>ewid</w:t>
            </w:r>
            <w:proofErr w:type="spellEnd"/>
            <w:r w:rsidRPr="00954348">
              <w:rPr>
                <w:rFonts w:ascii="Arial Narrow" w:hAnsi="Arial Narrow"/>
                <w:b/>
                <w:bCs/>
                <w:sz w:val="20"/>
              </w:rPr>
              <w:t>.</w:t>
            </w:r>
          </w:p>
        </w:tc>
        <w:tc>
          <w:tcPr>
            <w:tcW w:w="477" w:type="dxa"/>
            <w:tcBorders>
              <w:top w:val="single" w:sz="8" w:space="0" w:color="auto"/>
              <w:left w:val="nil"/>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udział</w:t>
            </w:r>
          </w:p>
        </w:tc>
        <w:tc>
          <w:tcPr>
            <w:tcW w:w="760" w:type="dxa"/>
            <w:tcBorders>
              <w:top w:val="single" w:sz="8" w:space="0" w:color="auto"/>
              <w:left w:val="nil"/>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RV</w:t>
            </w:r>
          </w:p>
        </w:tc>
        <w:tc>
          <w:tcPr>
            <w:tcW w:w="880" w:type="dxa"/>
            <w:tcBorders>
              <w:top w:val="single" w:sz="8" w:space="0" w:color="auto"/>
              <w:left w:val="nil"/>
              <w:bottom w:val="single" w:sz="8" w:space="0" w:color="auto"/>
              <w:right w:val="single" w:sz="4" w:space="0" w:color="auto"/>
            </w:tcBorders>
            <w:shd w:val="clear" w:color="000000" w:fill="C0C0C0"/>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ŁIV</w:t>
            </w:r>
          </w:p>
        </w:tc>
      </w:tr>
      <w:tr w:rsidR="00954348" w:rsidRPr="00954348" w:rsidTr="00954348">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5873</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0,2083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0,2083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5872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0,2185</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0,2185</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5871</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0,2374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0,2374</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5870</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0,2693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0,2693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5869</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0,5051</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0,5051</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5868</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0,3985</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0,3985</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5866</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0,0968</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0,0968</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5865</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0,0746</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0,0746</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9</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5864</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0,0745</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0,0745</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10</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5863</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0,2127</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0,2127</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0,1650</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0,1038</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0,0612</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12</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5860</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0,2679</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0,2679</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13</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5859</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0,0663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0,0663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14</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5855</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0,1223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0,1223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15</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5854</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0,2793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0,2793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16</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5853</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0,1224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0,1224</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17</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0,1056</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0,1056</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18</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5851</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0,1288</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0,1288</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19</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5850</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0,2538</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0,1075</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0,1463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20</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5847</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0,2696</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0,2696</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21</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5846</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0,1292</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0,1292</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22</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5829</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0,0962</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0,0962</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23</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5827</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0,1354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0,1354</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24</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5826</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0,7924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0,3499</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0,4425</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25</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5824</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0,2023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0,2023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26</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5822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0,3430</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0,2711</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0,0719</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27</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5820</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0,1473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0,1473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28</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5819</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0,1417</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0,1417</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29</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5815</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0,1383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0,1383</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30</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5817</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0,5173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0,5173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lastRenderedPageBreak/>
              <w:t>31</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5816</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0,2754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0,2754</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32</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5813</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0,0817</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0,0817</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33</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5812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0,0803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0,0803</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34</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5809</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0,0899</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0,0899</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35</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5808</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0,0955</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0,0955</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36</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5807</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0,2348</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0,2348</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37</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5806</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0,1054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0,1054</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38</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5793</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0,2797</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0,2797</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39</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5792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0,3793</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0,0883</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0,2910</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40</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5789/2</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0,2206</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0,2206</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41</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5789/1</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0,2175</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0,2175</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42</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5788</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0,1932</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0,1932</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43</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5761</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0,1634</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0,1634</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44</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5734</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0,0382</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0,0382</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45</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5733</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0,7567</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0,7567</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46</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5731</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0,2008</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0,2008</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47</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5728</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0,1876</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0,1876</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48</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5724</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0,1296</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0,1296</w:t>
            </w:r>
          </w:p>
        </w:tc>
      </w:tr>
      <w:tr w:rsidR="00954348" w:rsidRPr="00954348" w:rsidTr="00954348">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49</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5687</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0,1780</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0,1780</w:t>
            </w:r>
          </w:p>
        </w:tc>
      </w:tr>
      <w:tr w:rsidR="00954348" w:rsidRPr="00954348" w:rsidTr="00954348">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50</w:t>
            </w:r>
          </w:p>
        </w:tc>
        <w:tc>
          <w:tcPr>
            <w:tcW w:w="102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Siewierz</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5686</w:t>
            </w:r>
          </w:p>
        </w:tc>
        <w:tc>
          <w:tcPr>
            <w:tcW w:w="1068"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right"/>
              <w:rPr>
                <w:rFonts w:ascii="Arial Narrow" w:hAnsi="Arial Narrow"/>
                <w:sz w:val="20"/>
              </w:rPr>
            </w:pPr>
            <w:r w:rsidRPr="00954348">
              <w:rPr>
                <w:rFonts w:ascii="Arial Narrow" w:hAnsi="Arial Narrow"/>
                <w:sz w:val="20"/>
              </w:rPr>
              <w:t>0,4988</w:t>
            </w:r>
          </w:p>
        </w:tc>
        <w:tc>
          <w:tcPr>
            <w:tcW w:w="477"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1/1</w:t>
            </w:r>
          </w:p>
        </w:tc>
        <w:tc>
          <w:tcPr>
            <w:tcW w:w="76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0,0000</w:t>
            </w:r>
          </w:p>
        </w:tc>
        <w:tc>
          <w:tcPr>
            <w:tcW w:w="8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0,4988</w:t>
            </w:r>
          </w:p>
        </w:tc>
      </w:tr>
      <w:tr w:rsidR="00954348" w:rsidRPr="00954348" w:rsidTr="00954348">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sz w:val="20"/>
              </w:rPr>
            </w:pPr>
            <w:r w:rsidRPr="00954348">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954348" w:rsidRPr="00954348" w:rsidRDefault="00954348" w:rsidP="00954348">
            <w:pPr>
              <w:spacing w:line="240" w:lineRule="auto"/>
              <w:ind w:firstLine="0"/>
              <w:rPr>
                <w:rFonts w:ascii="Arial Narrow" w:hAnsi="Arial Narrow"/>
                <w:sz w:val="20"/>
              </w:rPr>
            </w:pPr>
            <w:r w:rsidRPr="00954348">
              <w:rPr>
                <w:rFonts w:ascii="Arial Narrow" w:hAnsi="Arial Narrow"/>
                <w:sz w:val="20"/>
              </w:rPr>
              <w:t>Razem</w:t>
            </w:r>
          </w:p>
        </w:tc>
        <w:tc>
          <w:tcPr>
            <w:tcW w:w="680" w:type="dxa"/>
            <w:tcBorders>
              <w:top w:val="nil"/>
              <w:left w:val="nil"/>
              <w:bottom w:val="single" w:sz="4" w:space="0" w:color="auto"/>
              <w:right w:val="single" w:sz="4" w:space="0" w:color="auto"/>
            </w:tcBorders>
            <w:shd w:val="clear" w:color="auto" w:fill="auto"/>
            <w:noWrap/>
            <w:vAlign w:val="bottom"/>
            <w:hideMark/>
          </w:tcPr>
          <w:p w:rsidR="00954348" w:rsidRPr="00954348" w:rsidRDefault="00954348" w:rsidP="00954348">
            <w:pPr>
              <w:spacing w:line="240" w:lineRule="auto"/>
              <w:ind w:firstLine="0"/>
              <w:rPr>
                <w:rFonts w:ascii="Arial Narrow" w:hAnsi="Arial Narrow"/>
                <w:sz w:val="20"/>
              </w:rPr>
            </w:pPr>
            <w:r w:rsidRPr="00954348">
              <w:rPr>
                <w:rFonts w:ascii="Arial Narrow" w:hAnsi="Arial Narrow"/>
                <w:sz w:val="20"/>
              </w:rPr>
              <w:t> </w:t>
            </w:r>
          </w:p>
        </w:tc>
        <w:tc>
          <w:tcPr>
            <w:tcW w:w="1068" w:type="dxa"/>
            <w:tcBorders>
              <w:top w:val="nil"/>
              <w:left w:val="nil"/>
              <w:bottom w:val="single" w:sz="8"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11,1262</w:t>
            </w:r>
          </w:p>
        </w:tc>
        <w:tc>
          <w:tcPr>
            <w:tcW w:w="477" w:type="dxa"/>
            <w:tcBorders>
              <w:top w:val="single" w:sz="8" w:space="0" w:color="auto"/>
              <w:left w:val="nil"/>
              <w:bottom w:val="single" w:sz="8"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 </w:t>
            </w:r>
          </w:p>
        </w:tc>
        <w:tc>
          <w:tcPr>
            <w:tcW w:w="760" w:type="dxa"/>
            <w:tcBorders>
              <w:top w:val="single" w:sz="8" w:space="0" w:color="auto"/>
              <w:left w:val="nil"/>
              <w:bottom w:val="single" w:sz="8"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2,1153</w:t>
            </w:r>
          </w:p>
        </w:tc>
        <w:tc>
          <w:tcPr>
            <w:tcW w:w="880" w:type="dxa"/>
            <w:tcBorders>
              <w:top w:val="single" w:sz="8" w:space="0" w:color="auto"/>
              <w:left w:val="nil"/>
              <w:bottom w:val="single" w:sz="8" w:space="0" w:color="auto"/>
              <w:right w:val="single" w:sz="4" w:space="0" w:color="auto"/>
            </w:tcBorders>
            <w:shd w:val="clear" w:color="auto" w:fill="auto"/>
            <w:noWrap/>
            <w:vAlign w:val="bottom"/>
            <w:hideMark/>
          </w:tcPr>
          <w:p w:rsidR="00954348" w:rsidRPr="00954348" w:rsidRDefault="00954348" w:rsidP="00954348">
            <w:pPr>
              <w:spacing w:line="240" w:lineRule="auto"/>
              <w:ind w:firstLine="0"/>
              <w:jc w:val="center"/>
              <w:rPr>
                <w:rFonts w:ascii="Arial Narrow" w:hAnsi="Arial Narrow"/>
                <w:b/>
                <w:bCs/>
                <w:sz w:val="20"/>
              </w:rPr>
            </w:pPr>
            <w:r w:rsidRPr="00954348">
              <w:rPr>
                <w:rFonts w:ascii="Arial Narrow" w:hAnsi="Arial Narrow"/>
                <w:b/>
                <w:bCs/>
                <w:sz w:val="20"/>
              </w:rPr>
              <w:t>9,0109</w:t>
            </w:r>
          </w:p>
        </w:tc>
      </w:tr>
    </w:tbl>
    <w:p w:rsidR="0048254C" w:rsidRDefault="0048254C" w:rsidP="0048254C">
      <w:pPr>
        <w:spacing w:line="276" w:lineRule="auto"/>
        <w:ind w:firstLine="0"/>
        <w:jc w:val="both"/>
        <w:rPr>
          <w:rFonts w:ascii="Verdana" w:hAnsi="Verdana"/>
          <w:color w:val="000000"/>
          <w:sz w:val="18"/>
          <w:szCs w:val="18"/>
          <w:lang w:eastAsia="ar-SA"/>
        </w:rPr>
      </w:pPr>
    </w:p>
    <w:p w:rsidR="00954348" w:rsidRDefault="00954348" w:rsidP="00954348">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Zawierciu </w:t>
      </w:r>
      <w:r>
        <w:rPr>
          <w:rFonts w:ascii="Verdana" w:hAnsi="Verdana"/>
          <w:color w:val="000000"/>
          <w:sz w:val="18"/>
          <w:szCs w:val="18"/>
          <w:lang w:eastAsia="ar-SA"/>
        </w:rPr>
        <w:t>prowadzi księgę wieczystą o numerze CZ1Z/00049450/6, CZ1Z/00049448/9, CZ1Z/00052753/4, CZ1Z/00049444/1.</w:t>
      </w:r>
    </w:p>
    <w:p w:rsidR="00954348" w:rsidRDefault="00954348" w:rsidP="00954348">
      <w:pPr>
        <w:spacing w:line="276" w:lineRule="auto"/>
        <w:jc w:val="both"/>
        <w:rPr>
          <w:rFonts w:ascii="Verdana" w:hAnsi="Verdana"/>
          <w:color w:val="000000"/>
          <w:sz w:val="18"/>
          <w:szCs w:val="18"/>
          <w:lang w:eastAsia="ar-SA"/>
        </w:rPr>
      </w:pPr>
    </w:p>
    <w:p w:rsidR="00954348" w:rsidRPr="0099125E" w:rsidRDefault="00954348" w:rsidP="00954348">
      <w:pPr>
        <w:spacing w:line="276" w:lineRule="auto"/>
        <w:ind w:firstLine="0"/>
        <w:jc w:val="both"/>
        <w:rPr>
          <w:rFonts w:ascii="Verdana" w:hAnsi="Verdana"/>
          <w:sz w:val="18"/>
          <w:szCs w:val="18"/>
        </w:rPr>
      </w:pPr>
      <w:r>
        <w:rPr>
          <w:rFonts w:ascii="Verdana" w:hAnsi="Verdana"/>
          <w:sz w:val="18"/>
          <w:szCs w:val="18"/>
        </w:rPr>
        <w:t xml:space="preserve">Informacja o obciążeniach i zobowiązaniach: </w:t>
      </w:r>
      <w:r>
        <w:rPr>
          <w:rFonts w:ascii="Verdana" w:hAnsi="Verdana" w:cs="Arial"/>
          <w:color w:val="000000"/>
          <w:sz w:val="18"/>
          <w:szCs w:val="18"/>
          <w:shd w:val="clear" w:color="auto" w:fill="FFFFFF"/>
        </w:rPr>
        <w:t xml:space="preserve">w Dziale III KW </w:t>
      </w:r>
      <w:r>
        <w:rPr>
          <w:rFonts w:ascii="Verdana" w:hAnsi="Verdana"/>
          <w:color w:val="000000"/>
          <w:sz w:val="18"/>
          <w:szCs w:val="18"/>
          <w:lang w:eastAsia="ar-SA"/>
        </w:rPr>
        <w:t xml:space="preserve">CZ1Z/00049448/9 </w:t>
      </w:r>
      <w:r w:rsidRPr="008648CA">
        <w:rPr>
          <w:rFonts w:ascii="Verdana" w:hAnsi="Verdana" w:cs="Arial"/>
          <w:color w:val="000000"/>
          <w:sz w:val="18"/>
          <w:szCs w:val="18"/>
          <w:shd w:val="clear" w:color="auto" w:fill="FFFFFF"/>
        </w:rPr>
        <w:t xml:space="preserve">nieodpłatna i nieograniczona w czasie służebność </w:t>
      </w:r>
      <w:proofErr w:type="spellStart"/>
      <w:r w:rsidRPr="008648CA">
        <w:rPr>
          <w:rFonts w:ascii="Verdana" w:hAnsi="Verdana" w:cs="Arial"/>
          <w:color w:val="000000"/>
          <w:sz w:val="18"/>
          <w:szCs w:val="18"/>
          <w:shd w:val="clear" w:color="auto" w:fill="FFFFFF"/>
        </w:rPr>
        <w:t>przesyłu</w:t>
      </w:r>
      <w:proofErr w:type="spellEnd"/>
      <w:r w:rsidRPr="008648CA">
        <w:rPr>
          <w:rFonts w:ascii="Verdana" w:hAnsi="Verdana" w:cs="Arial"/>
          <w:color w:val="000000"/>
          <w:sz w:val="18"/>
          <w:szCs w:val="18"/>
          <w:shd w:val="clear" w:color="auto" w:fill="FFFFFF"/>
        </w:rPr>
        <w:t xml:space="preserve"> na działce nr 5196/6</w:t>
      </w:r>
      <w:r>
        <w:rPr>
          <w:rFonts w:ascii="Verdana" w:hAnsi="Verdana" w:cs="Arial"/>
          <w:color w:val="000000"/>
          <w:sz w:val="18"/>
          <w:szCs w:val="18"/>
          <w:shd w:val="clear" w:color="auto" w:fill="FFFFFF"/>
        </w:rPr>
        <w:t xml:space="preserve">; w Dziale III KW CZ1Z/00052753/4 </w:t>
      </w:r>
      <w:r w:rsidRPr="0099125E">
        <w:rPr>
          <w:rFonts w:ascii="Verdana" w:hAnsi="Verdana" w:cs="Arial"/>
          <w:color w:val="000000"/>
          <w:sz w:val="18"/>
          <w:szCs w:val="18"/>
          <w:shd w:val="clear" w:color="auto" w:fill="FFFFFF"/>
        </w:rPr>
        <w:t>ostrzeżenie o niezgodności między stanem prawnym nieruchomości ujawnionym w księdze wieczystej a rzeczywistym stanem prawnym</w:t>
      </w:r>
      <w:r>
        <w:rPr>
          <w:rFonts w:ascii="Verdana" w:hAnsi="Verdana" w:cs="Arial"/>
          <w:color w:val="000000"/>
          <w:sz w:val="18"/>
          <w:szCs w:val="18"/>
          <w:shd w:val="clear" w:color="auto" w:fill="FFFFFF"/>
        </w:rPr>
        <w:t>.</w:t>
      </w:r>
      <w:r w:rsidRPr="0099125E">
        <w:rPr>
          <w:rFonts w:ascii="Verdana" w:hAnsi="Verdana" w:cs="Arial"/>
          <w:color w:val="000000"/>
          <w:sz w:val="18"/>
          <w:szCs w:val="18"/>
          <w:shd w:val="clear" w:color="auto" w:fill="FFFFFF"/>
        </w:rPr>
        <w:t> </w:t>
      </w:r>
    </w:p>
    <w:p w:rsidR="00954348" w:rsidRPr="00C537A8" w:rsidRDefault="00954348" w:rsidP="00954348">
      <w:pPr>
        <w:jc w:val="both"/>
        <w:rPr>
          <w:rFonts w:ascii="Verdana" w:hAnsi="Verdana"/>
          <w:sz w:val="18"/>
          <w:szCs w:val="18"/>
        </w:rPr>
      </w:pPr>
    </w:p>
    <w:p w:rsidR="00954348" w:rsidRPr="00E661C8" w:rsidRDefault="00954348" w:rsidP="00954348">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11,1262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954348" w:rsidRDefault="00954348" w:rsidP="00954348">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2,1153 ha</w:t>
      </w:r>
    </w:p>
    <w:p w:rsidR="00954348" w:rsidRDefault="00954348" w:rsidP="00954348">
      <w:pPr>
        <w:ind w:firstLine="0"/>
        <w:jc w:val="both"/>
        <w:rPr>
          <w:rFonts w:ascii="Verdana" w:hAnsi="Verdana"/>
          <w:sz w:val="18"/>
          <w:szCs w:val="18"/>
        </w:rPr>
      </w:pPr>
      <w:r>
        <w:rPr>
          <w:rFonts w:ascii="Verdana" w:hAnsi="Verdana"/>
          <w:sz w:val="18"/>
          <w:szCs w:val="18"/>
        </w:rPr>
        <w:t>- łąki trwałe:                           9,0109 ha</w:t>
      </w:r>
    </w:p>
    <w:p w:rsidR="00954348" w:rsidRDefault="00954348" w:rsidP="00954348">
      <w:pPr>
        <w:jc w:val="both"/>
        <w:rPr>
          <w:rFonts w:ascii="Verdana" w:hAnsi="Verdana"/>
          <w:sz w:val="18"/>
          <w:szCs w:val="18"/>
        </w:rPr>
      </w:pPr>
    </w:p>
    <w:p w:rsidR="00954348" w:rsidRDefault="00954348" w:rsidP="00954348">
      <w:pPr>
        <w:spacing w:line="240" w:lineRule="auto"/>
        <w:ind w:firstLine="0"/>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954348" w:rsidRDefault="00954348" w:rsidP="00954348">
      <w:pPr>
        <w:ind w:firstLine="0"/>
        <w:jc w:val="both"/>
        <w:rPr>
          <w:rFonts w:ascii="Verdana" w:hAnsi="Verdana"/>
          <w:sz w:val="18"/>
          <w:szCs w:val="18"/>
        </w:rPr>
      </w:pPr>
      <w:r>
        <w:rPr>
          <w:rFonts w:ascii="Verdana" w:hAnsi="Verdana"/>
          <w:sz w:val="18"/>
          <w:szCs w:val="18"/>
        </w:rPr>
        <w:t>- na działce nr 5793, 5792, 5789/2, 5789/1, 5788, 5687, 5686 występują rowy,</w:t>
      </w:r>
    </w:p>
    <w:p w:rsidR="00954348" w:rsidRDefault="00954348" w:rsidP="00954348">
      <w:pPr>
        <w:ind w:firstLine="0"/>
        <w:jc w:val="both"/>
        <w:rPr>
          <w:rFonts w:ascii="Verdana" w:hAnsi="Verdana"/>
          <w:sz w:val="18"/>
          <w:szCs w:val="18"/>
        </w:rPr>
      </w:pPr>
      <w:r>
        <w:rPr>
          <w:rFonts w:ascii="Verdana" w:hAnsi="Verdana"/>
          <w:sz w:val="18"/>
          <w:szCs w:val="18"/>
        </w:rPr>
        <w:t>- utrudniony dojazd do nieruchomości,</w:t>
      </w:r>
    </w:p>
    <w:p w:rsidR="00954348" w:rsidRDefault="00954348" w:rsidP="00954348">
      <w:pPr>
        <w:ind w:firstLine="0"/>
        <w:jc w:val="both"/>
        <w:rPr>
          <w:rFonts w:ascii="Verdana" w:hAnsi="Verdana"/>
          <w:sz w:val="18"/>
          <w:szCs w:val="18"/>
        </w:rPr>
      </w:pPr>
      <w:r>
        <w:rPr>
          <w:rFonts w:ascii="Verdana" w:hAnsi="Verdana"/>
          <w:sz w:val="18"/>
          <w:szCs w:val="18"/>
        </w:rPr>
        <w:t xml:space="preserve">- działki zachwaszczone. </w:t>
      </w:r>
    </w:p>
    <w:p w:rsidR="00954348" w:rsidRPr="00B1761D" w:rsidRDefault="00954348" w:rsidP="00954348">
      <w:pPr>
        <w:jc w:val="both"/>
        <w:rPr>
          <w:rFonts w:ascii="Verdana" w:hAnsi="Verdana"/>
          <w:sz w:val="18"/>
          <w:szCs w:val="18"/>
        </w:rPr>
      </w:pPr>
    </w:p>
    <w:p w:rsidR="00954348" w:rsidRDefault="00954348" w:rsidP="00954348">
      <w:pPr>
        <w:spacing w:after="60"/>
        <w:ind w:firstLine="0"/>
        <w:jc w:val="both"/>
        <w:rPr>
          <w:rFonts w:ascii="Verdana" w:hAnsi="Verdana"/>
          <w:sz w:val="18"/>
          <w:szCs w:val="18"/>
        </w:rPr>
      </w:pPr>
      <w:r>
        <w:rPr>
          <w:rFonts w:ascii="Verdana" w:hAnsi="Verdana"/>
          <w:sz w:val="18"/>
          <w:szCs w:val="18"/>
        </w:rPr>
        <w:t>Nieruchomości znajdują się na obszarze, dla którego aktualnie brak jest miejscowego planu zagospodarowania przestrzennego. W studium uwarunkowań i kierunków zagospodarowania przestrzennego Miasta i Gminy Siewierz działki zlokalizowane są na obszarze rolniczej przestrzeni produkcyjnej – kompleksy rolne; obszarach pozostałych – adaptacja stanu istniejącego z możliwymi przekształceniami nie wywołującymi kolizji z funkcjami terenów sąsiednich i otaczających oraz zgodnymi z przyjętymi kierunkami zagospodarowania przestrzennego.</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954348">
        <w:rPr>
          <w:rFonts w:ascii="Verdana" w:hAnsi="Verdana"/>
          <w:b/>
          <w:sz w:val="18"/>
          <w:szCs w:val="18"/>
        </w:rPr>
        <w:t>43,0</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5B2482">
        <w:rPr>
          <w:rFonts w:ascii="Verdana" w:hAnsi="Verdana"/>
          <w:b/>
          <w:spacing w:val="-3"/>
          <w:sz w:val="18"/>
          <w:szCs w:val="18"/>
          <w:u w:val="single"/>
        </w:rPr>
        <w:t>20</w:t>
      </w:r>
      <w:r w:rsidR="00D3370E">
        <w:rPr>
          <w:rFonts w:ascii="Verdana" w:hAnsi="Verdana"/>
          <w:b/>
          <w:spacing w:val="-3"/>
          <w:sz w:val="18"/>
          <w:szCs w:val="18"/>
          <w:u w:val="single"/>
        </w:rPr>
        <w:t>28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5764C0" w:rsidRDefault="005764C0" w:rsidP="0077054D">
      <w:pPr>
        <w:autoSpaceDE w:val="0"/>
        <w:autoSpaceDN w:val="0"/>
        <w:adjustRightInd w:val="0"/>
        <w:spacing w:before="120" w:line="240" w:lineRule="auto"/>
        <w:ind w:firstLine="0"/>
        <w:jc w:val="both"/>
        <w:rPr>
          <w:rFonts w:ascii="Verdana" w:hAnsi="Verdana" w:cs="FuturaMdPL-Regular"/>
          <w:sz w:val="18"/>
          <w:szCs w:val="18"/>
        </w:rPr>
      </w:pPr>
      <w:bookmarkStart w:id="0" w:name="_GoBack"/>
      <w:bookmarkEnd w:id="0"/>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5764C0">
        <w:rPr>
          <w:rFonts w:ascii="Verdana" w:hAnsi="Verdana"/>
          <w:b/>
          <w:sz w:val="20"/>
          <w:lang w:eastAsia="ar-SA"/>
        </w:rPr>
        <w:t>19</w:t>
      </w:r>
      <w:r w:rsidR="004E7EAA">
        <w:rPr>
          <w:rFonts w:ascii="Verdana" w:hAnsi="Verdana"/>
          <w:b/>
          <w:sz w:val="20"/>
          <w:lang w:eastAsia="ar-SA"/>
        </w:rPr>
        <w:t>.12.2025</w:t>
      </w:r>
      <w:r>
        <w:rPr>
          <w:rFonts w:ascii="Verdana" w:hAnsi="Verdana"/>
          <w:b/>
          <w:sz w:val="20"/>
          <w:lang w:eastAsia="ar-SA"/>
        </w:rPr>
        <w:t xml:space="preserve"> r. o godz. </w:t>
      </w:r>
      <w:r w:rsidR="00954348">
        <w:rPr>
          <w:rFonts w:ascii="Verdana" w:hAnsi="Verdana"/>
          <w:b/>
          <w:sz w:val="20"/>
          <w:lang w:eastAsia="ar-SA"/>
        </w:rPr>
        <w:t>10:00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lastRenderedPageBreak/>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956259" w:rsidRDefault="00956259"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w:t>
      </w:r>
      <w:r w:rsidRPr="00AA1FD1">
        <w:rPr>
          <w:rFonts w:ascii="Verdana" w:hAnsi="Verdana"/>
          <w:spacing w:val="-3"/>
          <w:sz w:val="18"/>
          <w:szCs w:val="18"/>
        </w:rPr>
        <w:lastRenderedPageBreak/>
        <w:t xml:space="preserve">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lastRenderedPageBreak/>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w:t>
      </w:r>
      <w:r w:rsidRPr="00532259">
        <w:rPr>
          <w:rFonts w:ascii="Verdana" w:hAnsi="Verdana"/>
          <w:sz w:val="18"/>
          <w:szCs w:val="18"/>
        </w:rPr>
        <w:lastRenderedPageBreak/>
        <w:t xml:space="preserve">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 xml:space="preserve">ustawą lub innymi przepisami, których naruszenie miało wpływ na wynik </w:t>
      </w:r>
      <w:r w:rsidRPr="00532259">
        <w:rPr>
          <w:rFonts w:ascii="Verdana" w:hAnsi="Verdana"/>
          <w:color w:val="000000"/>
          <w:sz w:val="18"/>
          <w:szCs w:val="18"/>
        </w:rPr>
        <w:lastRenderedPageBreak/>
        <w:t>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lastRenderedPageBreak/>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CE15A2" w:rsidRPr="007908DA" w:rsidRDefault="00CE15A2" w:rsidP="00187E49">
      <w:pPr>
        <w:jc w:val="center"/>
        <w:rPr>
          <w:rFonts w:ascii="Verdana" w:hAnsi="Verdana"/>
          <w:sz w:val="18"/>
          <w:szCs w:val="18"/>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5764C0">
        <w:rPr>
          <w:rFonts w:ascii="Verdana" w:hAnsi="Verdana"/>
          <w:b/>
          <w:sz w:val="16"/>
          <w:szCs w:val="16"/>
          <w:lang w:eastAsia="ar-SA"/>
        </w:rPr>
        <w:t>19</w:t>
      </w:r>
      <w:r w:rsidR="00C5526B">
        <w:rPr>
          <w:rFonts w:ascii="Verdana" w:hAnsi="Verdana"/>
          <w:b/>
          <w:sz w:val="16"/>
          <w:szCs w:val="16"/>
          <w:lang w:eastAsia="ar-SA"/>
        </w:rPr>
        <w:t>.12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5764C0">
        <w:rPr>
          <w:rFonts w:ascii="Verdana" w:hAnsi="Verdana"/>
          <w:sz w:val="16"/>
          <w:szCs w:val="16"/>
        </w:rPr>
        <w:t xml:space="preserve">Miasta i Gminy Siewierz,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5B2482">
        <w:rPr>
          <w:rFonts w:ascii="Verdana" w:hAnsi="Verdana"/>
          <w:sz w:val="16"/>
          <w:szCs w:val="16"/>
        </w:rPr>
        <w:t>,</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AA0" w:rsidRDefault="009F7AA0">
      <w:pPr>
        <w:spacing w:line="240" w:lineRule="auto"/>
      </w:pPr>
      <w:r>
        <w:separator/>
      </w:r>
    </w:p>
  </w:endnote>
  <w:endnote w:type="continuationSeparator" w:id="0">
    <w:p w:rsidR="009F7AA0" w:rsidRDefault="009F7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954348">
          <w:rPr>
            <w:noProof/>
          </w:rPr>
          <w:t>9</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AA0" w:rsidRDefault="009F7AA0">
      <w:pPr>
        <w:spacing w:line="240" w:lineRule="auto"/>
      </w:pPr>
      <w:r>
        <w:separator/>
      </w:r>
    </w:p>
  </w:footnote>
  <w:footnote w:type="continuationSeparator" w:id="0">
    <w:p w:rsidR="009F7AA0" w:rsidRDefault="009F7A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528"/>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764C0"/>
    <w:rsid w:val="00580047"/>
    <w:rsid w:val="00584E0C"/>
    <w:rsid w:val="00592654"/>
    <w:rsid w:val="00593AE7"/>
    <w:rsid w:val="00594C26"/>
    <w:rsid w:val="00594DC7"/>
    <w:rsid w:val="005A135D"/>
    <w:rsid w:val="005A566E"/>
    <w:rsid w:val="005A5C6E"/>
    <w:rsid w:val="005A5FF1"/>
    <w:rsid w:val="005B2482"/>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E4F84"/>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5B13"/>
    <w:rsid w:val="0093706D"/>
    <w:rsid w:val="0094159E"/>
    <w:rsid w:val="0094346B"/>
    <w:rsid w:val="00946F35"/>
    <w:rsid w:val="0095013B"/>
    <w:rsid w:val="00953AF4"/>
    <w:rsid w:val="00954348"/>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9F7AA0"/>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15A2"/>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370E"/>
    <w:rsid w:val="00D3573F"/>
    <w:rsid w:val="00D43F68"/>
    <w:rsid w:val="00D5105A"/>
    <w:rsid w:val="00D510A5"/>
    <w:rsid w:val="00D72750"/>
    <w:rsid w:val="00D73F36"/>
    <w:rsid w:val="00D74E97"/>
    <w:rsid w:val="00D82432"/>
    <w:rsid w:val="00D86CA6"/>
    <w:rsid w:val="00D876E8"/>
    <w:rsid w:val="00D92369"/>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06FD"/>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914321357">
      <w:bodyDiv w:val="1"/>
      <w:marLeft w:val="0"/>
      <w:marRight w:val="0"/>
      <w:marTop w:val="0"/>
      <w:marBottom w:val="0"/>
      <w:divBdr>
        <w:top w:val="none" w:sz="0" w:space="0" w:color="auto"/>
        <w:left w:val="none" w:sz="0" w:space="0" w:color="auto"/>
        <w:bottom w:val="none" w:sz="0" w:space="0" w:color="auto"/>
        <w:right w:val="none" w:sz="0" w:space="0" w:color="auto"/>
      </w:divBdr>
    </w:div>
    <w:div w:id="934551751">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1948927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291935714">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18948007">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9C4C3-7544-4D47-8C1E-91BC6611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265</TotalTime>
  <Pages>9</Pages>
  <Words>5130</Words>
  <Characters>30784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42</cp:revision>
  <cp:lastPrinted>2025-11-12T12:39:00Z</cp:lastPrinted>
  <dcterms:created xsi:type="dcterms:W3CDTF">2024-08-20T08:30:00Z</dcterms:created>
  <dcterms:modified xsi:type="dcterms:W3CDTF">2025-11-12T13:02:00Z</dcterms:modified>
</cp:coreProperties>
</file>