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48254C">
        <w:rPr>
          <w:rFonts w:ascii="Verdana" w:hAnsi="Verdana"/>
          <w:b/>
          <w:sz w:val="18"/>
          <w:szCs w:val="18"/>
        </w:rPr>
        <w:t>158</w:t>
      </w:r>
      <w:r w:rsidR="0095013B" w:rsidRPr="0095013B">
        <w:rPr>
          <w:rFonts w:ascii="Verdana" w:hAnsi="Verdana"/>
          <w:b/>
          <w:sz w:val="18"/>
          <w:szCs w:val="18"/>
        </w:rPr>
        <w:t>.2024.AT.</w:t>
      </w:r>
      <w:r w:rsidR="0048254C">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48254C" w:rsidRPr="0048254C">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48254C">
        <w:rPr>
          <w:rFonts w:ascii="Verdana" w:hAnsi="Verdana" w:cs="FuturaMdPL-Regular"/>
          <w:sz w:val="18"/>
          <w:szCs w:val="18"/>
        </w:rPr>
        <w:t>158</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48254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Miasta i Gminy Koniecpol</w:t>
      </w:r>
      <w:r w:rsidR="00563807">
        <w:rPr>
          <w:rFonts w:ascii="Verdana" w:hAnsi="Verdana" w:cs="FuturaMdPL-Regular"/>
          <w:sz w:val="18"/>
          <w:szCs w:val="18"/>
        </w:rPr>
        <w:t>,</w:t>
      </w:r>
      <w:r w:rsidR="00B212DF">
        <w:rPr>
          <w:rFonts w:ascii="Verdana" w:hAnsi="Verdana" w:cs="FuturaMdPL-Regular"/>
          <w:sz w:val="18"/>
          <w:szCs w:val="18"/>
        </w:rPr>
        <w:t xml:space="preserve"> Sołectwie </w:t>
      </w:r>
      <w:r w:rsidR="0048254C">
        <w:rPr>
          <w:rFonts w:ascii="Verdana" w:hAnsi="Verdana" w:cs="FuturaMdPL-Regular"/>
          <w:sz w:val="18"/>
          <w:szCs w:val="18"/>
        </w:rPr>
        <w:t>Kuźnica Wąsowska</w:t>
      </w:r>
      <w:r w:rsidR="00B212DF">
        <w:rPr>
          <w:rFonts w:ascii="Verdana" w:hAnsi="Verdana" w:cs="FuturaMdPL-Regular"/>
          <w:sz w:val="18"/>
          <w:szCs w:val="18"/>
        </w:rPr>
        <w:t>,</w:t>
      </w:r>
      <w:r w:rsidR="00563807">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63807">
        <w:rPr>
          <w:rFonts w:ascii="Verdana" w:hAnsi="Verdana" w:cs="FuturaMdPL-Regular"/>
          <w:b/>
          <w:sz w:val="18"/>
          <w:szCs w:val="18"/>
        </w:rPr>
        <w:t>2</w:t>
      </w:r>
      <w:r w:rsidR="00B212DF">
        <w:rPr>
          <w:rFonts w:ascii="Verdana" w:hAnsi="Verdana" w:cs="FuturaMdPL-Regular"/>
          <w:b/>
          <w:sz w:val="18"/>
          <w:szCs w:val="18"/>
        </w:rPr>
        <w:t>5</w:t>
      </w:r>
      <w:r w:rsidR="00563807">
        <w:rPr>
          <w:rFonts w:ascii="Verdana" w:hAnsi="Verdana" w:cs="FuturaMdPL-Regular"/>
          <w:b/>
          <w:sz w:val="18"/>
          <w:szCs w:val="18"/>
        </w:rPr>
        <w:t>.09.2024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95013B">
      <w:pPr>
        <w:pStyle w:val="Akapitzlist"/>
        <w:numPr>
          <w:ilvl w:val="0"/>
          <w:numId w:val="37"/>
        </w:numPr>
        <w:autoSpaceDE w:val="0"/>
        <w:autoSpaceDN w:val="0"/>
        <w:adjustRightInd w:val="0"/>
        <w:spacing w:line="240" w:lineRule="auto"/>
        <w:jc w:val="both"/>
        <w:rPr>
          <w:rFonts w:ascii="Verdana" w:hAnsi="Verdana"/>
          <w:color w:val="000000"/>
          <w:sz w:val="18"/>
          <w:szCs w:val="18"/>
        </w:rPr>
      </w:pPr>
      <w:r w:rsidRPr="0095013B">
        <w:rPr>
          <w:rFonts w:ascii="Verdana" w:hAnsi="Verdana" w:cs="FuturaMdPL-Regular"/>
          <w:sz w:val="18"/>
          <w:szCs w:val="18"/>
        </w:rPr>
        <w:t>Przedmiotem dzierżawy</w:t>
      </w:r>
      <w:r w:rsidR="00FA0F46" w:rsidRPr="0095013B">
        <w:rPr>
          <w:rFonts w:ascii="Verdana" w:hAnsi="Verdana"/>
          <w:sz w:val="18"/>
          <w:szCs w:val="18"/>
        </w:rPr>
        <w:t xml:space="preserve"> będzie nieruchomość</w:t>
      </w:r>
      <w:r w:rsidR="00D73F36" w:rsidRPr="0095013B">
        <w:rPr>
          <w:rFonts w:ascii="Verdana" w:hAnsi="Verdana"/>
          <w:sz w:val="18"/>
          <w:szCs w:val="18"/>
        </w:rPr>
        <w:t>,</w:t>
      </w:r>
      <w:r w:rsidR="00FA0F46" w:rsidRPr="0095013B">
        <w:rPr>
          <w:rFonts w:ascii="Verdana" w:hAnsi="Verdana"/>
          <w:sz w:val="18"/>
          <w:szCs w:val="18"/>
        </w:rPr>
        <w:t xml:space="preserve"> w skład której wchodzą </w:t>
      </w:r>
      <w:r w:rsidR="00FA0F46" w:rsidRPr="0095013B">
        <w:rPr>
          <w:rFonts w:ascii="Verdana" w:hAnsi="Verdana"/>
          <w:color w:val="000000"/>
          <w:sz w:val="18"/>
          <w:szCs w:val="18"/>
        </w:rPr>
        <w:t>grunty</w:t>
      </w:r>
      <w:r w:rsidR="00D73F36" w:rsidRPr="0095013B">
        <w:rPr>
          <w:rFonts w:ascii="Verdana" w:hAnsi="Verdana"/>
          <w:color w:val="000000"/>
          <w:sz w:val="18"/>
          <w:szCs w:val="18"/>
        </w:rPr>
        <w:t>,</w:t>
      </w:r>
      <w:r w:rsidR="00FA0F46" w:rsidRPr="0095013B">
        <w:rPr>
          <w:rFonts w:ascii="Verdana" w:hAnsi="Verdana"/>
          <w:color w:val="000000"/>
          <w:sz w:val="18"/>
          <w:szCs w:val="18"/>
        </w:rPr>
        <w:t xml:space="preserve"> których oznaczenie zgodnie z ewidencją gruntów i budynków zestawiono w poniższej tabeli</w:t>
      </w:r>
      <w:r w:rsidR="004C3883" w:rsidRPr="0095013B">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5423" w:type="dxa"/>
        <w:jc w:val="center"/>
        <w:tblCellMar>
          <w:left w:w="70" w:type="dxa"/>
          <w:right w:w="70" w:type="dxa"/>
        </w:tblCellMar>
        <w:tblLook w:val="04A0" w:firstRow="1" w:lastRow="0" w:firstColumn="1" w:lastColumn="0" w:noHBand="0" w:noVBand="1"/>
      </w:tblPr>
      <w:tblGrid>
        <w:gridCol w:w="341"/>
        <w:gridCol w:w="1600"/>
        <w:gridCol w:w="601"/>
        <w:gridCol w:w="992"/>
        <w:gridCol w:w="605"/>
        <w:gridCol w:w="642"/>
        <w:gridCol w:w="642"/>
      </w:tblGrid>
      <w:tr w:rsidR="0048254C" w:rsidRPr="0048254C" w:rsidTr="0048254C">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proofErr w:type="spellStart"/>
            <w:r w:rsidRPr="0048254C">
              <w:rPr>
                <w:rFonts w:ascii="Arial Narrow" w:hAnsi="Arial Narrow"/>
                <w:b/>
                <w:bCs/>
                <w:sz w:val="20"/>
              </w:rPr>
              <w:t>Lp</w:t>
            </w:r>
            <w:proofErr w:type="spellEnd"/>
          </w:p>
        </w:tc>
        <w:tc>
          <w:tcPr>
            <w:tcW w:w="1600"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obręb</w:t>
            </w:r>
          </w:p>
        </w:tc>
        <w:tc>
          <w:tcPr>
            <w:tcW w:w="601"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 xml:space="preserve">pow. </w:t>
            </w:r>
            <w:proofErr w:type="spellStart"/>
            <w:r w:rsidRPr="0048254C">
              <w:rPr>
                <w:rFonts w:ascii="Arial Narrow" w:hAnsi="Arial Narrow"/>
                <w:b/>
                <w:bCs/>
                <w:sz w:val="20"/>
              </w:rPr>
              <w:t>ewid</w:t>
            </w:r>
            <w:proofErr w:type="spellEnd"/>
            <w:r w:rsidRPr="0048254C">
              <w:rPr>
                <w:rFonts w:ascii="Arial Narrow" w:hAnsi="Arial Narrow"/>
                <w:b/>
                <w:bCs/>
                <w:sz w:val="20"/>
              </w:rPr>
              <w:t>.</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RVI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ŁV</w:t>
            </w:r>
          </w:p>
        </w:tc>
      </w:tr>
      <w:tr w:rsidR="0048254C" w:rsidRPr="0048254C" w:rsidTr="0048254C">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Kuźnica Wąsowska</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539</w:t>
            </w:r>
          </w:p>
        </w:tc>
        <w:tc>
          <w:tcPr>
            <w:tcW w:w="992"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1,1100</w:t>
            </w:r>
          </w:p>
        </w:tc>
        <w:tc>
          <w:tcPr>
            <w:tcW w:w="605"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0,5100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0,6000</w:t>
            </w:r>
          </w:p>
        </w:tc>
      </w:tr>
      <w:tr w:rsidR="0048254C" w:rsidRPr="0048254C" w:rsidTr="0048254C">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2</w:t>
            </w:r>
          </w:p>
        </w:tc>
        <w:tc>
          <w:tcPr>
            <w:tcW w:w="1600"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Kuźnica Wąsowska</w:t>
            </w:r>
          </w:p>
        </w:tc>
        <w:tc>
          <w:tcPr>
            <w:tcW w:w="601"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545</w:t>
            </w:r>
          </w:p>
        </w:tc>
        <w:tc>
          <w:tcPr>
            <w:tcW w:w="992"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2,2400</w:t>
            </w:r>
          </w:p>
        </w:tc>
        <w:tc>
          <w:tcPr>
            <w:tcW w:w="605"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1,3100</w:t>
            </w:r>
          </w:p>
        </w:tc>
        <w:tc>
          <w:tcPr>
            <w:tcW w:w="642"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0,9300</w:t>
            </w:r>
          </w:p>
        </w:tc>
      </w:tr>
      <w:tr w:rsidR="0048254C" w:rsidRPr="0048254C" w:rsidTr="0048254C">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sz w:val="20"/>
              </w:rPr>
            </w:pPr>
            <w:r w:rsidRPr="0048254C">
              <w:rPr>
                <w:rFonts w:ascii="Arial Narrow" w:hAnsi="Arial Narrow"/>
                <w:sz w:val="20"/>
              </w:rPr>
              <w:t> </w:t>
            </w:r>
          </w:p>
        </w:tc>
        <w:tc>
          <w:tcPr>
            <w:tcW w:w="1600" w:type="dxa"/>
            <w:tcBorders>
              <w:top w:val="nil"/>
              <w:left w:val="nil"/>
              <w:bottom w:val="single" w:sz="4" w:space="0" w:color="auto"/>
              <w:right w:val="nil"/>
            </w:tcBorders>
            <w:shd w:val="clear" w:color="auto" w:fill="auto"/>
            <w:noWrap/>
            <w:vAlign w:val="bottom"/>
            <w:hideMark/>
          </w:tcPr>
          <w:p w:rsidR="0048254C" w:rsidRPr="0048254C" w:rsidRDefault="0048254C" w:rsidP="0048254C">
            <w:pPr>
              <w:spacing w:line="240" w:lineRule="auto"/>
              <w:ind w:firstLine="0"/>
              <w:rPr>
                <w:rFonts w:ascii="Arial Narrow" w:hAnsi="Arial Narrow"/>
                <w:sz w:val="20"/>
              </w:rPr>
            </w:pPr>
            <w:r w:rsidRPr="0048254C">
              <w:rPr>
                <w:rFonts w:ascii="Arial Narrow" w:hAnsi="Arial Narrow"/>
                <w:sz w:val="20"/>
              </w:rPr>
              <w:t>Razem</w:t>
            </w:r>
          </w:p>
        </w:tc>
        <w:tc>
          <w:tcPr>
            <w:tcW w:w="601" w:type="dxa"/>
            <w:tcBorders>
              <w:top w:val="nil"/>
              <w:left w:val="nil"/>
              <w:bottom w:val="single" w:sz="4" w:space="0" w:color="auto"/>
              <w:right w:val="single" w:sz="4" w:space="0" w:color="auto"/>
            </w:tcBorders>
            <w:shd w:val="clear" w:color="auto" w:fill="auto"/>
            <w:noWrap/>
            <w:vAlign w:val="bottom"/>
            <w:hideMark/>
          </w:tcPr>
          <w:p w:rsidR="0048254C" w:rsidRPr="0048254C" w:rsidRDefault="0048254C" w:rsidP="0048254C">
            <w:pPr>
              <w:spacing w:line="240" w:lineRule="auto"/>
              <w:ind w:firstLine="0"/>
              <w:rPr>
                <w:rFonts w:ascii="Arial Narrow" w:hAnsi="Arial Narrow"/>
                <w:sz w:val="20"/>
              </w:rPr>
            </w:pPr>
            <w:r w:rsidRPr="0048254C">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3,3500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1,8200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48254C" w:rsidRPr="0048254C" w:rsidRDefault="0048254C" w:rsidP="0048254C">
            <w:pPr>
              <w:spacing w:line="240" w:lineRule="auto"/>
              <w:ind w:firstLine="0"/>
              <w:jc w:val="center"/>
              <w:rPr>
                <w:rFonts w:ascii="Arial Narrow" w:hAnsi="Arial Narrow"/>
                <w:b/>
                <w:bCs/>
                <w:sz w:val="20"/>
              </w:rPr>
            </w:pPr>
            <w:r w:rsidRPr="0048254C">
              <w:rPr>
                <w:rFonts w:ascii="Arial Narrow" w:hAnsi="Arial Narrow"/>
                <w:b/>
                <w:bCs/>
                <w:sz w:val="20"/>
              </w:rPr>
              <w:t>1,5300</w:t>
            </w:r>
          </w:p>
        </w:tc>
      </w:tr>
    </w:tbl>
    <w:p w:rsidR="0048254C" w:rsidRDefault="0048254C" w:rsidP="0048254C">
      <w:pPr>
        <w:spacing w:line="276" w:lineRule="auto"/>
        <w:ind w:firstLine="0"/>
        <w:jc w:val="both"/>
        <w:rPr>
          <w:rFonts w:ascii="Verdana" w:hAnsi="Verdana"/>
          <w:color w:val="000000"/>
          <w:sz w:val="18"/>
          <w:szCs w:val="18"/>
          <w:lang w:eastAsia="ar-SA"/>
        </w:rPr>
      </w:pPr>
    </w:p>
    <w:p w:rsidR="0048254C" w:rsidRDefault="0048254C" w:rsidP="0048254C">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Myszkowice </w:t>
      </w:r>
      <w:r>
        <w:rPr>
          <w:rFonts w:ascii="Verdana" w:hAnsi="Verdana"/>
          <w:color w:val="000000"/>
          <w:sz w:val="18"/>
          <w:szCs w:val="18"/>
          <w:lang w:eastAsia="ar-SA"/>
        </w:rPr>
        <w:t>prowadzi księgę wieczystą o numerze CZ1M/00093743/0, CZ1M/00093756/4.</w:t>
      </w:r>
    </w:p>
    <w:p w:rsidR="0048254C" w:rsidRPr="00D94E90" w:rsidRDefault="0048254C" w:rsidP="0048254C">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48254C" w:rsidRDefault="0048254C" w:rsidP="0048254C">
      <w:pPr>
        <w:spacing w:after="60"/>
        <w:ind w:firstLine="0"/>
        <w:jc w:val="both"/>
        <w:rPr>
          <w:rFonts w:ascii="Verdana" w:hAnsi="Verdana"/>
          <w:sz w:val="18"/>
          <w:szCs w:val="18"/>
        </w:rPr>
      </w:pPr>
      <w:r>
        <w:rPr>
          <w:rFonts w:ascii="Verdana" w:hAnsi="Verdana"/>
          <w:sz w:val="18"/>
          <w:szCs w:val="18"/>
        </w:rPr>
        <w:t>Informacja o obciążeniach i zobowiązaniach – brak.</w:t>
      </w:r>
    </w:p>
    <w:p w:rsidR="0048254C" w:rsidRPr="00E661C8" w:rsidRDefault="0048254C" w:rsidP="0048254C">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3,3500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48254C" w:rsidRPr="00E661C8" w:rsidRDefault="0048254C" w:rsidP="0048254C">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w:t>
      </w:r>
      <w:r w:rsidRPr="00E661C8">
        <w:rPr>
          <w:rFonts w:ascii="Verdana" w:hAnsi="Verdana"/>
          <w:sz w:val="18"/>
          <w:szCs w:val="18"/>
        </w:rPr>
        <w:t xml:space="preserve">: </w:t>
      </w:r>
      <w:r>
        <w:rPr>
          <w:rFonts w:ascii="Verdana" w:hAnsi="Verdana"/>
          <w:sz w:val="18"/>
          <w:szCs w:val="18"/>
        </w:rPr>
        <w:t xml:space="preserve">           1,8200</w:t>
      </w:r>
      <w:r w:rsidRPr="00E661C8">
        <w:rPr>
          <w:rFonts w:ascii="Verdana" w:hAnsi="Verdana"/>
          <w:sz w:val="18"/>
          <w:szCs w:val="18"/>
        </w:rPr>
        <w:t xml:space="preserve"> ha,</w:t>
      </w:r>
    </w:p>
    <w:p w:rsidR="0048254C" w:rsidRDefault="0048254C" w:rsidP="0048254C">
      <w:pPr>
        <w:ind w:firstLine="0"/>
        <w:jc w:val="both"/>
        <w:rPr>
          <w:rFonts w:ascii="Verdana" w:hAnsi="Verdana"/>
          <w:sz w:val="18"/>
          <w:szCs w:val="18"/>
        </w:rPr>
      </w:pPr>
      <w:r w:rsidRPr="00E661C8">
        <w:rPr>
          <w:rFonts w:ascii="Verdana" w:hAnsi="Verdana"/>
          <w:sz w:val="18"/>
          <w:szCs w:val="18"/>
        </w:rPr>
        <w:t xml:space="preserve">- łąki trwałe:             </w:t>
      </w:r>
      <w:r>
        <w:rPr>
          <w:rFonts w:ascii="Verdana" w:hAnsi="Verdana"/>
          <w:sz w:val="18"/>
          <w:szCs w:val="18"/>
        </w:rPr>
        <w:t xml:space="preserve"> 1,5300 ha.</w:t>
      </w:r>
    </w:p>
    <w:p w:rsidR="0048254C" w:rsidRPr="00E661C8" w:rsidRDefault="0048254C" w:rsidP="0048254C">
      <w:pPr>
        <w:jc w:val="both"/>
        <w:rPr>
          <w:rFonts w:ascii="Verdana" w:hAnsi="Verdana"/>
          <w:sz w:val="18"/>
          <w:szCs w:val="18"/>
        </w:rPr>
      </w:pPr>
    </w:p>
    <w:p w:rsidR="0048254C" w:rsidRPr="0048254C" w:rsidRDefault="0048254C" w:rsidP="0048254C">
      <w:pPr>
        <w:pStyle w:val="Akapitzlist"/>
        <w:numPr>
          <w:ilvl w:val="0"/>
          <w:numId w:val="37"/>
        </w:numPr>
        <w:spacing w:line="240" w:lineRule="auto"/>
        <w:ind w:left="284" w:hanging="284"/>
        <w:jc w:val="both"/>
        <w:rPr>
          <w:rFonts w:ascii="Verdana" w:hAnsi="Verdana"/>
          <w:sz w:val="18"/>
          <w:szCs w:val="18"/>
        </w:rPr>
      </w:pPr>
      <w:r w:rsidRPr="0048254C">
        <w:rPr>
          <w:rFonts w:ascii="Verdana" w:hAnsi="Verdana"/>
          <w:sz w:val="18"/>
          <w:szCs w:val="18"/>
        </w:rPr>
        <w:t xml:space="preserve">Inne ważne informacje o nieruchomości: </w:t>
      </w:r>
    </w:p>
    <w:p w:rsidR="0048254C" w:rsidRDefault="0048254C" w:rsidP="0048254C">
      <w:pPr>
        <w:ind w:firstLine="0"/>
        <w:jc w:val="both"/>
        <w:rPr>
          <w:rFonts w:ascii="Verdana" w:hAnsi="Verdana"/>
          <w:sz w:val="18"/>
          <w:szCs w:val="18"/>
        </w:rPr>
      </w:pPr>
      <w:r>
        <w:rPr>
          <w:rFonts w:ascii="Verdana" w:hAnsi="Verdana"/>
          <w:sz w:val="18"/>
          <w:szCs w:val="18"/>
        </w:rPr>
        <w:t>- działki zadrzewione,</w:t>
      </w:r>
    </w:p>
    <w:p w:rsidR="0048254C" w:rsidRDefault="0048254C" w:rsidP="0048254C">
      <w:pPr>
        <w:ind w:firstLine="0"/>
        <w:jc w:val="both"/>
        <w:rPr>
          <w:rFonts w:ascii="Verdana" w:hAnsi="Verdana"/>
          <w:sz w:val="18"/>
          <w:szCs w:val="18"/>
        </w:rPr>
      </w:pPr>
      <w:r>
        <w:rPr>
          <w:rFonts w:ascii="Verdana" w:hAnsi="Verdana"/>
          <w:sz w:val="18"/>
          <w:szCs w:val="18"/>
        </w:rPr>
        <w:t xml:space="preserve">- utrudniony wjazd na nieruchomości. </w:t>
      </w:r>
    </w:p>
    <w:p w:rsidR="0048254C" w:rsidRDefault="0048254C" w:rsidP="0048254C">
      <w:pPr>
        <w:spacing w:after="120"/>
        <w:ind w:firstLine="0"/>
        <w:jc w:val="both"/>
        <w:rPr>
          <w:rFonts w:ascii="Verdana" w:hAnsi="Verdana"/>
          <w:sz w:val="18"/>
          <w:szCs w:val="18"/>
        </w:rPr>
      </w:pPr>
    </w:p>
    <w:p w:rsidR="0048254C" w:rsidRDefault="0048254C" w:rsidP="0048254C">
      <w:pPr>
        <w:spacing w:after="120"/>
        <w:ind w:firstLine="0"/>
        <w:jc w:val="both"/>
        <w:rPr>
          <w:rFonts w:ascii="Verdana" w:hAnsi="Verdana"/>
          <w:sz w:val="18"/>
          <w:szCs w:val="18"/>
        </w:rPr>
      </w:pPr>
      <w:r>
        <w:rPr>
          <w:rFonts w:ascii="Verdana" w:hAnsi="Verdana"/>
          <w:sz w:val="18"/>
          <w:szCs w:val="18"/>
        </w:rPr>
        <w:t>Działki znajdują się na obszarze, dla którego aktualnie brak jest miejscowego planu zagospodarowania przestrzennego. W studium uwarunkowań i kierunków zagospodarowania przestrzennego miasta i gminy Koniecpol działki położone są na obszarze wskazanym do zalesienia – upraw rolnych i nieużytków wskazane do zalesienia dla wzmocnienia systemu powiązań przyrodniczych.</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48254C">
        <w:rPr>
          <w:rFonts w:ascii="Verdana" w:hAnsi="Verdana"/>
          <w:b/>
          <w:sz w:val="18"/>
          <w:szCs w:val="18"/>
        </w:rPr>
        <w:t>1,7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48254C">
        <w:rPr>
          <w:rFonts w:ascii="Verdana" w:hAnsi="Verdana"/>
          <w:b/>
          <w:sz w:val="18"/>
          <w:szCs w:val="18"/>
        </w:rPr>
        <w:t>310</w:t>
      </w:r>
      <w:r w:rsidR="00B212DF">
        <w:rPr>
          <w:rFonts w:ascii="Verdana" w:hAnsi="Verdana"/>
          <w:b/>
          <w:sz w:val="18"/>
          <w:szCs w:val="18"/>
        </w:rPr>
        <w:t>,00</w:t>
      </w:r>
      <w:r w:rsidRPr="00E8366C">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48254C">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63807">
        <w:rPr>
          <w:rFonts w:ascii="Verdana" w:hAnsi="Verdana"/>
          <w:b/>
          <w:sz w:val="20"/>
          <w:lang w:eastAsia="ar-SA"/>
        </w:rPr>
        <w:t>18.11.</w:t>
      </w:r>
      <w:r w:rsidR="00624572">
        <w:rPr>
          <w:rFonts w:ascii="Verdana" w:hAnsi="Verdana"/>
          <w:b/>
          <w:sz w:val="20"/>
          <w:lang w:eastAsia="ar-SA"/>
        </w:rPr>
        <w:t>2024</w:t>
      </w:r>
      <w:r>
        <w:rPr>
          <w:rFonts w:ascii="Verdana" w:hAnsi="Verdana"/>
          <w:b/>
          <w:sz w:val="20"/>
          <w:lang w:eastAsia="ar-SA"/>
        </w:rPr>
        <w:t xml:space="preserve"> r. o godz. </w:t>
      </w:r>
      <w:r w:rsidR="00E62351">
        <w:rPr>
          <w:rFonts w:ascii="Verdana" w:hAnsi="Verdana"/>
          <w:b/>
          <w:sz w:val="20"/>
          <w:lang w:eastAsia="ar-SA"/>
        </w:rPr>
        <w:t>10:</w:t>
      </w:r>
      <w:r w:rsidR="0048254C">
        <w:rPr>
          <w:rFonts w:ascii="Verdana" w:hAnsi="Verdana"/>
          <w:b/>
          <w:sz w:val="20"/>
          <w:lang w:eastAsia="ar-SA"/>
        </w:rPr>
        <w:t>3</w:t>
      </w:r>
      <w:r w:rsidR="00E62351">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63807">
        <w:rPr>
          <w:rFonts w:ascii="Verdana" w:hAnsi="Verdana"/>
          <w:b/>
          <w:spacing w:val="-3"/>
          <w:sz w:val="18"/>
          <w:szCs w:val="18"/>
        </w:rPr>
        <w:t>28.10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63807">
        <w:rPr>
          <w:rFonts w:ascii="Verdana" w:hAnsi="Verdana"/>
          <w:b/>
          <w:spacing w:val="-3"/>
          <w:sz w:val="18"/>
          <w:szCs w:val="18"/>
        </w:rPr>
        <w:t>30.10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63807">
        <w:rPr>
          <w:rFonts w:ascii="Verdana" w:hAnsi="Verdana"/>
          <w:b/>
          <w:sz w:val="18"/>
          <w:szCs w:val="18"/>
        </w:rPr>
        <w:t>05.11</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563807">
        <w:rPr>
          <w:rFonts w:ascii="Verdana" w:hAnsi="Verdana" w:cs="Verdana"/>
          <w:b/>
          <w:sz w:val="18"/>
          <w:szCs w:val="18"/>
        </w:rPr>
        <w:t>07.11</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563807">
        <w:rPr>
          <w:rFonts w:ascii="Verdana" w:hAnsi="Verdana"/>
          <w:b/>
          <w:sz w:val="18"/>
          <w:szCs w:val="18"/>
        </w:rPr>
        <w:t>12.11</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w:t>
      </w:r>
      <w:r w:rsidRPr="00532259">
        <w:rPr>
          <w:rFonts w:ascii="Verdana" w:hAnsi="Verdana"/>
          <w:sz w:val="18"/>
          <w:szCs w:val="18"/>
        </w:rPr>
        <w:lastRenderedPageBreak/>
        <w:t xml:space="preserve">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48254C" w:rsidRDefault="0048254C" w:rsidP="00F705E6">
      <w:pPr>
        <w:ind w:firstLine="0"/>
        <w:jc w:val="both"/>
        <w:rPr>
          <w:rFonts w:ascii="Verdana" w:hAnsi="Verdana"/>
          <w:b/>
          <w:color w:val="000000"/>
          <w:sz w:val="18"/>
          <w:szCs w:val="18"/>
          <w:u w:val="single"/>
        </w:rPr>
      </w:pPr>
    </w:p>
    <w:p w:rsidR="0048254C" w:rsidRDefault="0048254C" w:rsidP="00F705E6">
      <w:pPr>
        <w:ind w:firstLine="0"/>
        <w:jc w:val="both"/>
        <w:rPr>
          <w:rFonts w:ascii="Verdana" w:hAnsi="Verdana"/>
          <w:b/>
          <w:color w:val="000000"/>
          <w:sz w:val="18"/>
          <w:szCs w:val="18"/>
          <w:u w:val="single"/>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563807">
        <w:rPr>
          <w:rFonts w:ascii="Verdana" w:hAnsi="Verdana"/>
          <w:sz w:val="18"/>
          <w:szCs w:val="18"/>
        </w:rPr>
        <w:t>30.09</w:t>
      </w:r>
      <w:r w:rsidR="00D72750">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563807">
        <w:rPr>
          <w:rFonts w:ascii="Verdana" w:hAnsi="Verdana"/>
          <w:b/>
          <w:sz w:val="16"/>
          <w:szCs w:val="16"/>
          <w:lang w:eastAsia="ar-SA"/>
        </w:rPr>
        <w:t>14.10</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563807">
        <w:rPr>
          <w:rFonts w:ascii="Verdana" w:hAnsi="Verdana"/>
          <w:b/>
          <w:sz w:val="16"/>
          <w:szCs w:val="16"/>
          <w:lang w:eastAsia="ar-SA"/>
        </w:rPr>
        <w:t>18.11</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48254C">
        <w:rPr>
          <w:rFonts w:ascii="Verdana" w:hAnsi="Verdana"/>
          <w:sz w:val="16"/>
          <w:szCs w:val="16"/>
        </w:rPr>
        <w:t>Miasta i Gminy Koniecpol</w:t>
      </w:r>
      <w:r w:rsidR="00E65AF4" w:rsidRPr="00781F96">
        <w:rPr>
          <w:rFonts w:ascii="Verdana" w:hAnsi="Verdana"/>
          <w:sz w:val="16"/>
          <w:szCs w:val="16"/>
        </w:rPr>
        <w:t>,</w:t>
      </w:r>
    </w:p>
    <w:p w:rsidR="00E62351" w:rsidRDefault="00E62351"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48254C">
        <w:rPr>
          <w:rFonts w:ascii="Verdana" w:hAnsi="Verdana"/>
          <w:sz w:val="16"/>
          <w:szCs w:val="16"/>
        </w:rPr>
        <w:t>Kuźnica Wąsowska</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w:t>
        </w:r>
        <w:bookmarkStart w:id="0" w:name="_GoBack"/>
        <w:bookmarkEnd w:id="0"/>
        <w:r w:rsidRPr="0054135E">
          <w:rPr>
            <w:rFonts w:ascii="Verdana" w:hAnsi="Verdana"/>
            <w:sz w:val="16"/>
            <w:szCs w:val="16"/>
            <w:lang w:eastAsia="ar-SA"/>
          </w:rPr>
          <w:t>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DA" w:rsidRDefault="002D53DA">
      <w:pPr>
        <w:spacing w:line="240" w:lineRule="auto"/>
      </w:pPr>
      <w:r>
        <w:separator/>
      </w:r>
    </w:p>
  </w:endnote>
  <w:endnote w:type="continuationSeparator" w:id="0">
    <w:p w:rsidR="002D53DA" w:rsidRDefault="002D5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48254C">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DA" w:rsidRDefault="002D53DA">
      <w:pPr>
        <w:spacing w:line="240" w:lineRule="auto"/>
      </w:pPr>
      <w:r>
        <w:separator/>
      </w:r>
    </w:p>
  </w:footnote>
  <w:footnote w:type="continuationSeparator" w:id="0">
    <w:p w:rsidR="002D53DA" w:rsidRDefault="002D5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3393-A6A0-4B55-B6E9-44EC9E13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52</TotalTime>
  <Pages>8</Pages>
  <Words>4800</Words>
  <Characters>28806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7</cp:revision>
  <cp:lastPrinted>2024-09-30T07:40:00Z</cp:lastPrinted>
  <dcterms:created xsi:type="dcterms:W3CDTF">2024-08-20T08:30:00Z</dcterms:created>
  <dcterms:modified xsi:type="dcterms:W3CDTF">2024-09-30T07:40:00Z</dcterms:modified>
</cp:coreProperties>
</file>