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7B59DA">
        <w:rPr>
          <w:rFonts w:ascii="Verdana" w:hAnsi="Verdana"/>
          <w:b/>
          <w:sz w:val="18"/>
          <w:szCs w:val="18"/>
        </w:rPr>
        <w:t>18</w:t>
      </w:r>
      <w:r w:rsidR="0092598E">
        <w:rPr>
          <w:rFonts w:ascii="Verdana" w:hAnsi="Verdana"/>
          <w:b/>
          <w:sz w:val="18"/>
          <w:szCs w:val="18"/>
        </w:rPr>
        <w:t>.2025</w:t>
      </w:r>
      <w:r w:rsidR="0095013B" w:rsidRPr="0095013B">
        <w:rPr>
          <w:rFonts w:ascii="Verdana" w:hAnsi="Verdana"/>
          <w:b/>
          <w:sz w:val="18"/>
          <w:szCs w:val="18"/>
        </w:rPr>
        <w:t>.AT.</w:t>
      </w:r>
      <w:r w:rsidR="007B59DA">
        <w:rPr>
          <w:rFonts w:ascii="Verdana" w:hAnsi="Verdana"/>
          <w:b/>
          <w:sz w:val="18"/>
          <w:szCs w:val="18"/>
        </w:rPr>
        <w:t>23</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7B59DA">
        <w:rPr>
          <w:rFonts w:ascii="Verdana" w:hAnsi="Verdana" w:cs="FuturaMdPL-Regular"/>
          <w:b/>
          <w:smallCaps/>
          <w:color w:val="000000"/>
          <w:sz w:val="20"/>
        </w:rPr>
        <w:t>Wojkowice</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B59DA">
        <w:rPr>
          <w:rFonts w:ascii="Verdana" w:hAnsi="Verdana" w:cs="FuturaMdPL-Regular"/>
          <w:sz w:val="18"/>
          <w:szCs w:val="18"/>
        </w:rPr>
        <w:t>18</w:t>
      </w:r>
      <w:r w:rsidR="0092598E">
        <w:rPr>
          <w:rFonts w:ascii="Verdana" w:hAnsi="Verdana" w:cs="FuturaMdPL-Regular"/>
          <w:sz w:val="18"/>
          <w:szCs w:val="18"/>
        </w:rPr>
        <w:t>.2025.AT.</w:t>
      </w:r>
      <w:r w:rsidR="007B59DA">
        <w:rPr>
          <w:rFonts w:ascii="Verdana" w:hAnsi="Verdana" w:cs="FuturaMdPL-Regular"/>
          <w:sz w:val="18"/>
          <w:szCs w:val="18"/>
        </w:rPr>
        <w:t>2</w:t>
      </w:r>
      <w:r w:rsidR="0092598E">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B59DA">
        <w:rPr>
          <w:rFonts w:ascii="Verdana" w:hAnsi="Verdana" w:cs="FuturaMdPL-Regular"/>
          <w:sz w:val="18"/>
          <w:szCs w:val="18"/>
        </w:rPr>
        <w:t>Miasta Wojkowice</w:t>
      </w:r>
      <w:r w:rsidR="00EE2B35">
        <w:rPr>
          <w:rFonts w:ascii="Verdana" w:hAnsi="Verdana" w:cs="FuturaMdPL-Regular"/>
          <w:sz w:val="18"/>
          <w:szCs w:val="18"/>
        </w:rPr>
        <w:t>,</w:t>
      </w:r>
      <w:r w:rsidR="00FF3EE8">
        <w:rPr>
          <w:rFonts w:ascii="Verdana" w:hAnsi="Verdana" w:cs="FuturaMdPL-Regular"/>
          <w:sz w:val="18"/>
          <w:szCs w:val="18"/>
        </w:rPr>
        <w:t xml:space="preserve"> ,</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E24338">
        <w:rPr>
          <w:rFonts w:ascii="Verdana" w:hAnsi="Verdana"/>
          <w:sz w:val="18"/>
          <w:szCs w:val="18"/>
        </w:rPr>
        <w:t xml:space="preserve"> w Katowicach</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7B59DA">
        <w:rPr>
          <w:rFonts w:ascii="Verdana" w:hAnsi="Verdana" w:cs="FuturaMdPL-Regular"/>
          <w:b/>
          <w:sz w:val="18"/>
          <w:szCs w:val="18"/>
        </w:rPr>
        <w:t>14.07</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5955" w:type="dxa"/>
        <w:jc w:val="center"/>
        <w:tblCellMar>
          <w:left w:w="70" w:type="dxa"/>
          <w:right w:w="70" w:type="dxa"/>
        </w:tblCellMar>
        <w:tblLook w:val="04A0" w:firstRow="1" w:lastRow="0" w:firstColumn="1" w:lastColumn="0" w:noHBand="0" w:noVBand="1"/>
      </w:tblPr>
      <w:tblGrid>
        <w:gridCol w:w="341"/>
        <w:gridCol w:w="1020"/>
        <w:gridCol w:w="423"/>
        <w:gridCol w:w="642"/>
        <w:gridCol w:w="1108"/>
        <w:gridCol w:w="605"/>
        <w:gridCol w:w="642"/>
        <w:gridCol w:w="700"/>
        <w:gridCol w:w="642"/>
      </w:tblGrid>
      <w:tr w:rsidR="007B59DA" w:rsidRPr="007B59DA" w:rsidTr="007B59DA">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proofErr w:type="spellStart"/>
            <w:r w:rsidRPr="007B59DA">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proofErr w:type="spellStart"/>
            <w:r w:rsidRPr="007B59DA">
              <w:rPr>
                <w:rFonts w:ascii="Arial Narrow" w:hAnsi="Arial Narrow"/>
                <w:b/>
                <w:bCs/>
                <w:sz w:val="20"/>
              </w:rPr>
              <w:t>k.m</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nr dz.</w:t>
            </w:r>
          </w:p>
        </w:tc>
        <w:tc>
          <w:tcPr>
            <w:tcW w:w="1108"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 xml:space="preserve">pow. </w:t>
            </w:r>
            <w:proofErr w:type="spellStart"/>
            <w:r w:rsidRPr="007B59DA">
              <w:rPr>
                <w:rFonts w:ascii="Arial Narrow" w:hAnsi="Arial Narrow"/>
                <w:b/>
                <w:bCs/>
                <w:sz w:val="20"/>
              </w:rPr>
              <w:t>ewid</w:t>
            </w:r>
            <w:proofErr w:type="spellEnd"/>
            <w:r w:rsidRPr="007B59DA">
              <w:rPr>
                <w:rFonts w:ascii="Arial Narrow" w:hAnsi="Arial Narrow"/>
                <w:b/>
                <w:bCs/>
                <w:sz w:val="20"/>
              </w:rPr>
              <w:t>.</w:t>
            </w:r>
          </w:p>
        </w:tc>
        <w:tc>
          <w:tcPr>
            <w:tcW w:w="437"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proofErr w:type="spellStart"/>
            <w:r w:rsidRPr="007B59DA">
              <w:rPr>
                <w:rFonts w:ascii="Arial Narrow" w:hAnsi="Arial Narrow"/>
                <w:b/>
                <w:bCs/>
                <w:sz w:val="20"/>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7B59DA" w:rsidRPr="007B59DA" w:rsidRDefault="007B59DA" w:rsidP="007B59DA">
            <w:pPr>
              <w:spacing w:line="240" w:lineRule="auto"/>
              <w:ind w:firstLine="0"/>
              <w:jc w:val="center"/>
              <w:rPr>
                <w:rFonts w:ascii="Arial Narrow" w:hAnsi="Arial Narrow"/>
                <w:b/>
                <w:bCs/>
                <w:sz w:val="20"/>
              </w:rPr>
            </w:pPr>
            <w:proofErr w:type="spellStart"/>
            <w:r w:rsidRPr="007B59DA">
              <w:rPr>
                <w:rFonts w:ascii="Arial Narrow" w:hAnsi="Arial Narrow"/>
                <w:b/>
                <w:bCs/>
                <w:sz w:val="20"/>
              </w:rPr>
              <w:t>PsVI</w:t>
            </w:r>
            <w:proofErr w:type="spellEnd"/>
          </w:p>
        </w:tc>
      </w:tr>
      <w:tr w:rsidR="007B59DA" w:rsidRPr="007B59DA" w:rsidTr="007B59DA">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359</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0,3156</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0,0229</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0,2927</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361/2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0,3940</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0,3940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361/5</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0,2417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0,2417</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365/3</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0,0460</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0,0460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365/4</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0,0881</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0,0881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365/5</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0,0630</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0,0630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365/6</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0,0704</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0,0704</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365/7</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0,1077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0,1077</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365/8</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0,0442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0,0442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365/10</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0,0642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0,0642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4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365/11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0,0738</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0,0738</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365/12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0,1144</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0,1144</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366/9</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0,0720</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0,0720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366/11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0,0528</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0,0528</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369</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0,4555</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0,4555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379</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0,6369</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0,1301</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0,5068</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386/1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0,6133</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0,1921</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0,4212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388/3</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0,2038</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0,2038</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388/6</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0,1403</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0,0006</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0,1397</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388/7</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0,1363</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0,1279</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0,0084</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390</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0,0373</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0,0373</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0,037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0,0370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393</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0,2301</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0,0796</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0,1505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394</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0,2255</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0,0973</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0,1282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398/10</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0,0962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0,0962</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398/11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0,0932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0,0932</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401/1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0,2903</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0,2903</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401/3</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0,3230</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0,1024</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0,2206</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29</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402/2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0,2197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0,2197</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30</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404</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0,8142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0,5703</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0,2439</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lastRenderedPageBreak/>
              <w:t>31</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405</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0,4547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0,3297</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0,1250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32</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414</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0,3342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0,2187</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0,1155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33</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415/1</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0,1986</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0,0356</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0,1219</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0,0411</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34</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415/2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0,1778</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0,1778</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35</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417/2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0,1814</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0,0785</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0,0843</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0,0186</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36</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417/3</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0,1837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0,0720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0,0903</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0,0214</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37</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418</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1,0629</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0,6485</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0,4144</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38</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419</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0,5544</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0,3492</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0,2052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39</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422/2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0,2444</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0,0552</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0,1892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426/8</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0,2343</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0,1538</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0,0805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41</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427/4</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0,1299</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0,0184</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0,1115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42</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427/6</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0,1152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0,0167</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0,0985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429/2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0,2665</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0,1555</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0,1110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44</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431/2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0,4115</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0,3599</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0,0516</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45</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432/3</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0,1114</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0,1114</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46</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434</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0,4702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0,3337</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0,1365</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47</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436</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0,5417</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0,4058</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0,1359</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48</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437/2</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0,1402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0,1081</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0,0321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49</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437/6</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0,0542</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0,0542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50</w:t>
            </w:r>
          </w:p>
        </w:tc>
        <w:tc>
          <w:tcPr>
            <w:tcW w:w="102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Wojkowice</w:t>
            </w:r>
          </w:p>
        </w:tc>
        <w:tc>
          <w:tcPr>
            <w:tcW w:w="423"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2</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437/7</w:t>
            </w:r>
          </w:p>
        </w:tc>
        <w:tc>
          <w:tcPr>
            <w:tcW w:w="1108"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0,2001</w:t>
            </w:r>
          </w:p>
        </w:tc>
        <w:tc>
          <w:tcPr>
            <w:tcW w:w="437"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0,2001</w:t>
            </w:r>
          </w:p>
        </w:tc>
        <w:tc>
          <w:tcPr>
            <w:tcW w:w="700"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0,0000</w:t>
            </w:r>
          </w:p>
        </w:tc>
      </w:tr>
      <w:tr w:rsidR="007B59DA" w:rsidRPr="007B59DA" w:rsidTr="007B59DA">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sz w:val="20"/>
              </w:rPr>
            </w:pPr>
            <w:r w:rsidRPr="007B59DA">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7B59DA" w:rsidRPr="007B59DA" w:rsidRDefault="007B59DA" w:rsidP="007B59DA">
            <w:pPr>
              <w:spacing w:line="240" w:lineRule="auto"/>
              <w:ind w:firstLine="0"/>
              <w:rPr>
                <w:rFonts w:ascii="Arial Narrow" w:hAnsi="Arial Narrow"/>
                <w:sz w:val="20"/>
              </w:rPr>
            </w:pPr>
            <w:r w:rsidRPr="007B59DA">
              <w:rPr>
                <w:rFonts w:ascii="Arial Narrow" w:hAnsi="Arial Narrow"/>
                <w:sz w:val="20"/>
              </w:rPr>
              <w:t>Razem</w:t>
            </w:r>
          </w:p>
        </w:tc>
        <w:tc>
          <w:tcPr>
            <w:tcW w:w="423" w:type="dxa"/>
            <w:tcBorders>
              <w:top w:val="nil"/>
              <w:left w:val="nil"/>
              <w:bottom w:val="single" w:sz="4" w:space="0" w:color="auto"/>
              <w:right w:val="nil"/>
            </w:tcBorders>
            <w:shd w:val="clear" w:color="auto" w:fill="auto"/>
            <w:noWrap/>
            <w:vAlign w:val="bottom"/>
            <w:hideMark/>
          </w:tcPr>
          <w:p w:rsidR="007B59DA" w:rsidRPr="007B59DA" w:rsidRDefault="007B59DA" w:rsidP="007B59DA">
            <w:pPr>
              <w:spacing w:line="240" w:lineRule="auto"/>
              <w:ind w:firstLine="0"/>
              <w:rPr>
                <w:rFonts w:ascii="Arial Narrow" w:hAnsi="Arial Narrow"/>
                <w:sz w:val="20"/>
              </w:rPr>
            </w:pPr>
            <w:r w:rsidRPr="007B59DA">
              <w:rPr>
                <w:rFonts w:ascii="Arial Narrow" w:hAnsi="Arial Narrow"/>
                <w:sz w:val="20"/>
              </w:rPr>
              <w:t> </w:t>
            </w:r>
          </w:p>
        </w:tc>
        <w:tc>
          <w:tcPr>
            <w:tcW w:w="642" w:type="dxa"/>
            <w:tcBorders>
              <w:top w:val="nil"/>
              <w:left w:val="nil"/>
              <w:bottom w:val="single" w:sz="4" w:space="0" w:color="auto"/>
              <w:right w:val="single" w:sz="4" w:space="0" w:color="auto"/>
            </w:tcBorders>
            <w:shd w:val="clear" w:color="auto" w:fill="auto"/>
            <w:noWrap/>
            <w:vAlign w:val="bottom"/>
            <w:hideMark/>
          </w:tcPr>
          <w:p w:rsidR="007B59DA" w:rsidRPr="007B59DA" w:rsidRDefault="007B59DA" w:rsidP="007B59DA">
            <w:pPr>
              <w:spacing w:line="240" w:lineRule="auto"/>
              <w:ind w:firstLine="0"/>
              <w:rPr>
                <w:rFonts w:ascii="Arial Narrow" w:hAnsi="Arial Narrow"/>
                <w:sz w:val="20"/>
              </w:rPr>
            </w:pPr>
            <w:r w:rsidRPr="007B59DA">
              <w:rPr>
                <w:rFonts w:ascii="Arial Narrow" w:hAnsi="Arial Narrow"/>
                <w:sz w:val="20"/>
              </w:rPr>
              <w:t> </w:t>
            </w:r>
          </w:p>
        </w:tc>
        <w:tc>
          <w:tcPr>
            <w:tcW w:w="1108" w:type="dxa"/>
            <w:tcBorders>
              <w:top w:val="single" w:sz="8" w:space="0" w:color="auto"/>
              <w:left w:val="nil"/>
              <w:bottom w:val="single" w:sz="8"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12,3678</w:t>
            </w:r>
          </w:p>
        </w:tc>
        <w:tc>
          <w:tcPr>
            <w:tcW w:w="437" w:type="dxa"/>
            <w:tcBorders>
              <w:top w:val="single" w:sz="8" w:space="0" w:color="auto"/>
              <w:left w:val="nil"/>
              <w:bottom w:val="single" w:sz="8"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5,9255</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6,3612</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7B59DA" w:rsidRPr="007B59DA" w:rsidRDefault="007B59DA" w:rsidP="007B59DA">
            <w:pPr>
              <w:spacing w:line="240" w:lineRule="auto"/>
              <w:ind w:firstLine="0"/>
              <w:jc w:val="center"/>
              <w:rPr>
                <w:rFonts w:ascii="Arial Narrow" w:hAnsi="Arial Narrow"/>
                <w:b/>
                <w:bCs/>
                <w:sz w:val="20"/>
              </w:rPr>
            </w:pPr>
            <w:r w:rsidRPr="007B59DA">
              <w:rPr>
                <w:rFonts w:ascii="Arial Narrow" w:hAnsi="Arial Narrow"/>
                <w:b/>
                <w:bCs/>
                <w:sz w:val="20"/>
              </w:rPr>
              <w:t>0,0811</w:t>
            </w:r>
          </w:p>
        </w:tc>
      </w:tr>
    </w:tbl>
    <w:p w:rsidR="0048254C" w:rsidRDefault="0048254C" w:rsidP="0048254C">
      <w:pPr>
        <w:spacing w:line="276" w:lineRule="auto"/>
        <w:ind w:firstLine="0"/>
        <w:jc w:val="both"/>
        <w:rPr>
          <w:rFonts w:ascii="Verdana" w:hAnsi="Verdana"/>
          <w:color w:val="000000"/>
          <w:sz w:val="18"/>
          <w:szCs w:val="18"/>
          <w:lang w:eastAsia="ar-SA"/>
        </w:rPr>
      </w:pPr>
    </w:p>
    <w:p w:rsidR="007B59DA" w:rsidRPr="0073208B" w:rsidRDefault="007B59DA" w:rsidP="007B59DA">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Czeladzi </w:t>
      </w:r>
      <w:r>
        <w:rPr>
          <w:rFonts w:ascii="Verdana" w:hAnsi="Verdana"/>
          <w:color w:val="000000"/>
          <w:sz w:val="18"/>
          <w:szCs w:val="18"/>
          <w:lang w:eastAsia="ar-SA"/>
        </w:rPr>
        <w:t>prowadzi księgę wieczystą o numerze KA1B/00051059/3, KA1B/00049061/3.</w:t>
      </w:r>
      <w:r>
        <w:rPr>
          <w:rFonts w:ascii="Verdana" w:hAnsi="Verdana"/>
          <w:color w:val="000000"/>
          <w:sz w:val="18"/>
          <w:szCs w:val="18"/>
          <w:lang w:eastAsia="ar-SA"/>
        </w:rPr>
        <w:t xml:space="preserve"> </w:t>
      </w:r>
      <w:r>
        <w:rPr>
          <w:rFonts w:ascii="Verdana" w:hAnsi="Verdana"/>
          <w:sz w:val="18"/>
          <w:szCs w:val="18"/>
        </w:rPr>
        <w:t>Informacja o obciążeniach i zobowiązaniach: brak.</w:t>
      </w:r>
    </w:p>
    <w:p w:rsidR="007B59DA" w:rsidRDefault="007B59DA" w:rsidP="007B59DA">
      <w:pPr>
        <w:jc w:val="both"/>
        <w:rPr>
          <w:rFonts w:ascii="Verdana" w:hAnsi="Verdana"/>
          <w:color w:val="FF0000"/>
          <w:sz w:val="18"/>
          <w:szCs w:val="18"/>
        </w:rPr>
      </w:pPr>
    </w:p>
    <w:p w:rsidR="007B59DA" w:rsidRPr="00E661C8" w:rsidRDefault="007B59DA" w:rsidP="007B59DA">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12,3678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7B59DA" w:rsidRDefault="007B59DA" w:rsidP="007B59DA">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12,2867 ha</w:t>
      </w:r>
    </w:p>
    <w:p w:rsidR="007B59DA" w:rsidRDefault="007B59DA" w:rsidP="007B59DA">
      <w:pPr>
        <w:ind w:firstLine="0"/>
        <w:jc w:val="both"/>
        <w:rPr>
          <w:rFonts w:ascii="Verdana" w:hAnsi="Verdana"/>
          <w:sz w:val="18"/>
          <w:szCs w:val="18"/>
        </w:rPr>
      </w:pPr>
      <w:r>
        <w:rPr>
          <w:rFonts w:ascii="Verdana" w:hAnsi="Verdana"/>
          <w:sz w:val="18"/>
          <w:szCs w:val="18"/>
        </w:rPr>
        <w:t>- pastwiska trwałe:           0,0811 ha</w:t>
      </w:r>
    </w:p>
    <w:p w:rsidR="007B59DA" w:rsidRDefault="007B59DA" w:rsidP="007B59DA">
      <w:pPr>
        <w:jc w:val="both"/>
        <w:rPr>
          <w:rFonts w:ascii="Verdana" w:hAnsi="Verdana"/>
          <w:sz w:val="18"/>
          <w:szCs w:val="18"/>
        </w:rPr>
      </w:pPr>
    </w:p>
    <w:p w:rsidR="007B59DA" w:rsidRDefault="007B59DA" w:rsidP="007B59DA">
      <w:pPr>
        <w:spacing w:line="240" w:lineRule="auto"/>
        <w:ind w:firstLine="0"/>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7B59DA" w:rsidRDefault="007B59DA" w:rsidP="007B59DA">
      <w:pPr>
        <w:ind w:firstLine="0"/>
        <w:jc w:val="both"/>
        <w:rPr>
          <w:rFonts w:ascii="Verdana" w:hAnsi="Verdana"/>
          <w:sz w:val="18"/>
          <w:szCs w:val="18"/>
        </w:rPr>
      </w:pPr>
      <w:r>
        <w:rPr>
          <w:rFonts w:ascii="Verdana" w:hAnsi="Verdana"/>
          <w:sz w:val="18"/>
          <w:szCs w:val="18"/>
        </w:rPr>
        <w:t>- brak bezpośredniego dojazdu do działki nr 402/2, 398/10, 398/11, 393, 394, 390, 391, 388/3, 388/7, 388/6, 366/11, 365/5, 365/6, 365/10, 365/11;</w:t>
      </w:r>
    </w:p>
    <w:p w:rsidR="007B59DA" w:rsidRDefault="007B59DA" w:rsidP="007B59DA">
      <w:pPr>
        <w:ind w:firstLine="0"/>
        <w:jc w:val="both"/>
        <w:rPr>
          <w:rFonts w:ascii="Verdana" w:hAnsi="Verdana"/>
          <w:sz w:val="18"/>
          <w:szCs w:val="18"/>
        </w:rPr>
      </w:pPr>
      <w:r>
        <w:rPr>
          <w:rFonts w:ascii="Verdana" w:hAnsi="Verdana"/>
          <w:sz w:val="18"/>
          <w:szCs w:val="18"/>
        </w:rPr>
        <w:t>- działki zachwaszczone.</w:t>
      </w:r>
    </w:p>
    <w:p w:rsidR="007B59DA" w:rsidRDefault="007B59DA" w:rsidP="007B59DA">
      <w:pPr>
        <w:jc w:val="both"/>
        <w:rPr>
          <w:rFonts w:ascii="Verdana" w:hAnsi="Verdana"/>
          <w:sz w:val="18"/>
          <w:szCs w:val="18"/>
        </w:rPr>
      </w:pPr>
    </w:p>
    <w:p w:rsidR="007B59DA" w:rsidRDefault="007B59DA" w:rsidP="007B59DA">
      <w:pPr>
        <w:ind w:firstLine="0"/>
        <w:jc w:val="both"/>
        <w:rPr>
          <w:rFonts w:ascii="Verdana" w:hAnsi="Verdana"/>
          <w:sz w:val="18"/>
          <w:szCs w:val="18"/>
        </w:rPr>
      </w:pPr>
      <w:r>
        <w:rPr>
          <w:rFonts w:ascii="Verdana" w:hAnsi="Verdana"/>
          <w:sz w:val="18"/>
          <w:szCs w:val="18"/>
        </w:rPr>
        <w:t>W miejscowym planie zagospodarowania przestrzennego miasta Wojkowice nieruchomości mają przeznaczenie:</w:t>
      </w:r>
    </w:p>
    <w:p w:rsidR="007B59DA" w:rsidRPr="00ED763C" w:rsidRDefault="007B59DA" w:rsidP="007B59DA">
      <w:pPr>
        <w:ind w:firstLine="0"/>
        <w:jc w:val="both"/>
        <w:rPr>
          <w:rFonts w:ascii="Verdana" w:eastAsia="Calibri" w:hAnsi="Verdana"/>
          <w:iCs/>
          <w:sz w:val="18"/>
          <w:szCs w:val="18"/>
          <w:lang w:eastAsia="en-US"/>
        </w:rPr>
      </w:pPr>
      <w:r>
        <w:rPr>
          <w:rFonts w:ascii="Verdana" w:eastAsia="Calibri" w:hAnsi="Verdana"/>
          <w:iCs/>
          <w:sz w:val="18"/>
          <w:szCs w:val="18"/>
          <w:lang w:eastAsia="en-US"/>
        </w:rPr>
        <w:t xml:space="preserve">- </w:t>
      </w:r>
      <w:r w:rsidRPr="00ED763C">
        <w:rPr>
          <w:rFonts w:ascii="Verdana" w:eastAsia="Calibri" w:hAnsi="Verdana"/>
          <w:iCs/>
          <w:sz w:val="18"/>
          <w:szCs w:val="18"/>
          <w:lang w:eastAsia="en-US"/>
        </w:rPr>
        <w:t>działka nr 359, 361/2: tereny rolne, tereny dróg zbiorczych, tereny zabudowy produkcji i usług przemysłowych, usług magazynowo składowych, tereny zieleni nieurządzonej;</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361/5, 365/5, 365/6, 365/7, 365/10, 365/11, 365/12, 366/11, 388/3, 388/6, 391, 393, 394, 398/10, 398/11, 401/3, 402/2, 415/1, 417/2, 417/3, 422/2, 427/4, 426/2, 437/6: tereny rolne;</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365/3, 365/8: tereny dróg zbiorczych, tereny zieleni nieurządzonej, tereny zabudowy produkcji i</w:t>
      </w:r>
      <w:r>
        <w:rPr>
          <w:rFonts w:ascii="Verdana" w:eastAsia="Calibri" w:hAnsi="Verdana"/>
          <w:iCs/>
          <w:sz w:val="18"/>
          <w:szCs w:val="18"/>
          <w:lang w:eastAsia="en-US"/>
        </w:rPr>
        <w:t> </w:t>
      </w:r>
      <w:r w:rsidRPr="00ED763C">
        <w:rPr>
          <w:rFonts w:ascii="Verdana" w:eastAsia="Calibri" w:hAnsi="Verdana"/>
          <w:iCs/>
          <w:sz w:val="18"/>
          <w:szCs w:val="18"/>
          <w:lang w:eastAsia="en-US"/>
        </w:rPr>
        <w:t xml:space="preserve">usług przemysłowych, usług magazynowo składowych, tereny zabudowy mieszkaniowej wielorodzinnej; </w:t>
      </w:r>
    </w:p>
    <w:p w:rsidR="007B59DA" w:rsidRPr="00ED763C" w:rsidRDefault="007B59DA" w:rsidP="007B59DA">
      <w:pPr>
        <w:ind w:firstLine="0"/>
        <w:jc w:val="both"/>
        <w:rPr>
          <w:rFonts w:ascii="Verdana" w:eastAsia="Calibri" w:hAnsi="Verdana"/>
          <w:iCs/>
          <w:sz w:val="18"/>
          <w:szCs w:val="18"/>
          <w:lang w:eastAsia="en-US"/>
        </w:rPr>
      </w:pPr>
      <w:r>
        <w:rPr>
          <w:rFonts w:ascii="Verdana" w:eastAsia="Calibri" w:hAnsi="Verdana"/>
          <w:iCs/>
          <w:sz w:val="18"/>
          <w:szCs w:val="18"/>
          <w:lang w:eastAsia="en-US"/>
        </w:rPr>
        <w:t xml:space="preserve">- </w:t>
      </w:r>
      <w:r w:rsidRPr="00ED763C">
        <w:rPr>
          <w:rFonts w:ascii="Verdana" w:eastAsia="Calibri" w:hAnsi="Verdana"/>
          <w:iCs/>
          <w:sz w:val="18"/>
          <w:szCs w:val="18"/>
          <w:lang w:eastAsia="en-US"/>
        </w:rPr>
        <w:t>działka nr 365/4, 366/9, 388/7, 426/8, 429/2: tereny rolne, tereny zabudowy produkcji i usług przemysłowych, usług magazynowo składowych;</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369, 379: tereny rolne, tereny zabudowy produkcji i usług przemysłowych, usług magazynowo składowych, tereny dróg zbiorczych, tereny zieleni nieurządzonej, tereny zabudowy mieszkaniowej jednorodzinnej;</w:t>
      </w:r>
    </w:p>
    <w:p w:rsidR="007B59DA" w:rsidRPr="00ED763C" w:rsidRDefault="007B59DA" w:rsidP="007B59DA">
      <w:pPr>
        <w:ind w:firstLine="0"/>
        <w:jc w:val="both"/>
        <w:rPr>
          <w:rFonts w:ascii="Verdana" w:eastAsia="Calibri" w:hAnsi="Verdana"/>
          <w:iCs/>
          <w:color w:val="000000"/>
          <w:sz w:val="18"/>
          <w:szCs w:val="18"/>
          <w:lang w:eastAsia="en-US"/>
        </w:rPr>
      </w:pPr>
      <w:r w:rsidRPr="00ED763C">
        <w:rPr>
          <w:rFonts w:ascii="Verdana" w:eastAsia="Calibri" w:hAnsi="Verdana"/>
          <w:iCs/>
          <w:color w:val="000000"/>
          <w:sz w:val="18"/>
          <w:szCs w:val="18"/>
          <w:lang w:eastAsia="en-US"/>
        </w:rPr>
        <w:lastRenderedPageBreak/>
        <w:t xml:space="preserve">- działka nr 386/1: </w:t>
      </w:r>
      <w:r w:rsidRPr="00ED763C">
        <w:rPr>
          <w:rFonts w:ascii="Verdana" w:eastAsia="Calibri" w:hAnsi="Verdana"/>
          <w:iCs/>
          <w:sz w:val="18"/>
          <w:szCs w:val="18"/>
          <w:lang w:eastAsia="en-US"/>
        </w:rPr>
        <w:t>tereny zabudowy produkcji i usług przemysłowych, usług magazynowo składowych,</w:t>
      </w:r>
      <w:r w:rsidRPr="00ED763C">
        <w:rPr>
          <w:rFonts w:ascii="Verdana" w:eastAsia="Calibri" w:hAnsi="Verdana"/>
          <w:iCs/>
          <w:color w:val="000000"/>
          <w:sz w:val="18"/>
          <w:szCs w:val="18"/>
          <w:lang w:eastAsia="en-US"/>
        </w:rPr>
        <w:t xml:space="preserve">, tereny zabudowy produkcji i usług przemysłowych, usług magazynowo składowych, tereny dróg zbiorczych, tereny zieleni nieurządzonej, tereny zabudowy mieszkaniowej wielorodzinnej; </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390: tereny zabudowy produkcji i usług przemysłowych, usług magazynowo składowych;</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401/1: tereny rolne, tereny zabudowy produkcji i usług przemysłowych, usług magazynowo składowych, tereny zabudowy wielorodzinnej, tereny dróg zbiorczych, tereny zieleni nieurządzonej, tereny dróg dojazdowych;</w:t>
      </w:r>
    </w:p>
    <w:p w:rsidR="007B59DA" w:rsidRPr="00ED763C" w:rsidRDefault="007B59DA" w:rsidP="007B59DA">
      <w:pPr>
        <w:ind w:firstLine="0"/>
        <w:jc w:val="both"/>
        <w:rPr>
          <w:rFonts w:ascii="Verdana" w:eastAsia="Calibri" w:hAnsi="Verdana"/>
          <w:iCs/>
          <w:sz w:val="18"/>
          <w:szCs w:val="18"/>
          <w:lang w:eastAsia="en-US"/>
        </w:rPr>
      </w:pPr>
      <w:r>
        <w:rPr>
          <w:rFonts w:ascii="Verdana" w:eastAsia="Calibri" w:hAnsi="Verdana"/>
          <w:iCs/>
          <w:sz w:val="18"/>
          <w:szCs w:val="18"/>
          <w:lang w:eastAsia="en-US"/>
        </w:rPr>
        <w:t xml:space="preserve">- działka nr 404: </w:t>
      </w:r>
      <w:r w:rsidRPr="00ED763C">
        <w:rPr>
          <w:rFonts w:ascii="Verdana" w:eastAsia="Calibri" w:hAnsi="Verdana"/>
          <w:iCs/>
          <w:sz w:val="18"/>
          <w:szCs w:val="18"/>
          <w:lang w:eastAsia="en-US"/>
        </w:rPr>
        <w:t xml:space="preserve">tereny rolne, tereny zabudowy produkcji i usług przemysłowych, usług magazynowo składowych, tereny dróg dojazdowych, tereny dróg zbiorczych, tereny zieleni nieurządzonej; </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405: tereny rolne, tereny zieleni nieurządzonej, tereny dróg zbiorczych, tereny dróg dojazdowych;</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xml:space="preserve">- działka nr 414, 415/2, 418, 419: tereny rolne, tereny zabudowy produkcji i usług przemysłowych, usług magazynowo składowych, tereny dróg zbiorczych; </w:t>
      </w:r>
    </w:p>
    <w:p w:rsidR="007B59DA" w:rsidRPr="00ED763C" w:rsidRDefault="007B59DA" w:rsidP="007B59DA">
      <w:pPr>
        <w:ind w:firstLine="0"/>
        <w:jc w:val="both"/>
        <w:rPr>
          <w:rFonts w:ascii="Verdana" w:eastAsia="Calibri" w:hAnsi="Verdana"/>
          <w:iCs/>
          <w:sz w:val="18"/>
          <w:szCs w:val="18"/>
          <w:lang w:eastAsia="en-US"/>
        </w:rPr>
      </w:pPr>
      <w:r w:rsidRPr="00ED763C">
        <w:rPr>
          <w:rFonts w:ascii="Verdana" w:eastAsia="Calibri" w:hAnsi="Verdana"/>
          <w:iCs/>
          <w:sz w:val="18"/>
          <w:szCs w:val="18"/>
          <w:lang w:eastAsia="en-US"/>
        </w:rPr>
        <w:t>- działka nr 431/2, 434, 436, 437/2, 437/7: tereny rolne, tereny zieleni nieurządzonej, tereny dróg zbiorczych;</w:t>
      </w:r>
    </w:p>
    <w:p w:rsidR="007B59DA" w:rsidRPr="00ED763C" w:rsidRDefault="007B59DA" w:rsidP="007B59DA">
      <w:pPr>
        <w:ind w:firstLine="0"/>
        <w:jc w:val="both"/>
        <w:rPr>
          <w:sz w:val="18"/>
          <w:szCs w:val="18"/>
        </w:rPr>
      </w:pPr>
      <w:r w:rsidRPr="00ED763C">
        <w:rPr>
          <w:rFonts w:ascii="Verdana" w:eastAsia="Calibri" w:hAnsi="Verdana"/>
          <w:iCs/>
          <w:sz w:val="18"/>
          <w:szCs w:val="18"/>
          <w:lang w:eastAsia="en-US"/>
        </w:rPr>
        <w:t>- działka nr 432/3: tereny zieleni nieurządzonej, tereny dróg zbiorczych.</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7B59DA">
        <w:rPr>
          <w:rFonts w:ascii="Verdana" w:hAnsi="Verdana"/>
          <w:b/>
          <w:sz w:val="18"/>
          <w:szCs w:val="18"/>
        </w:rPr>
        <w:t>36,3</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8A67D2">
        <w:rPr>
          <w:rFonts w:ascii="Verdana" w:hAnsi="Verdana"/>
          <w:b/>
          <w:spacing w:val="-3"/>
          <w:sz w:val="18"/>
          <w:szCs w:val="18"/>
          <w:u w:val="single"/>
        </w:rPr>
        <w:t>2</w:t>
      </w:r>
      <w:r w:rsidR="00FF3EE8">
        <w:rPr>
          <w:rFonts w:ascii="Verdana" w:hAnsi="Verdana"/>
          <w:b/>
          <w:spacing w:val="-3"/>
          <w:sz w:val="18"/>
          <w:szCs w:val="18"/>
          <w:u w:val="single"/>
        </w:rPr>
        <w:t>0</w:t>
      </w:r>
      <w:r w:rsidR="00E24338">
        <w:rPr>
          <w:rFonts w:ascii="Verdana" w:hAnsi="Verdana"/>
          <w:b/>
          <w:spacing w:val="-3"/>
          <w:sz w:val="18"/>
          <w:szCs w:val="18"/>
          <w:u w:val="single"/>
        </w:rPr>
        <w:t>2</w:t>
      </w:r>
      <w:r w:rsidR="004E7EAA">
        <w:rPr>
          <w:rFonts w:ascii="Verdana" w:hAnsi="Verdana"/>
          <w:b/>
          <w:spacing w:val="-3"/>
          <w:sz w:val="18"/>
          <w:szCs w:val="18"/>
          <w:u w:val="single"/>
        </w:rPr>
        <w:t>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4E7EAA">
        <w:rPr>
          <w:rFonts w:ascii="Verdana" w:hAnsi="Verdana"/>
          <w:b/>
          <w:sz w:val="20"/>
          <w:lang w:eastAsia="ar-SA"/>
        </w:rPr>
        <w:t>18.12.2025</w:t>
      </w:r>
      <w:r>
        <w:rPr>
          <w:rFonts w:ascii="Verdana" w:hAnsi="Verdana"/>
          <w:b/>
          <w:sz w:val="20"/>
          <w:lang w:eastAsia="ar-SA"/>
        </w:rPr>
        <w:t xml:space="preserve"> r. o godz. </w:t>
      </w:r>
      <w:r w:rsidR="007B59DA">
        <w:rPr>
          <w:rFonts w:ascii="Verdana" w:hAnsi="Verdana"/>
          <w:b/>
          <w:sz w:val="20"/>
          <w:lang w:eastAsia="ar-SA"/>
        </w:rPr>
        <w:t>10:00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lastRenderedPageBreak/>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3F66C1" w:rsidRDefault="003F66C1" w:rsidP="00E23B5C">
      <w:pPr>
        <w:autoSpaceDE w:val="0"/>
        <w:autoSpaceDN w:val="0"/>
        <w:adjustRightInd w:val="0"/>
        <w:ind w:firstLine="0"/>
        <w:jc w:val="both"/>
        <w:rPr>
          <w:rFonts w:ascii="Verdana" w:hAnsi="Verdana" w:cs="FuturaMdPL-Regular"/>
          <w:b/>
          <w:smallCaps/>
          <w:sz w:val="18"/>
          <w:szCs w:val="18"/>
          <w:u w:val="single"/>
        </w:rPr>
      </w:pPr>
    </w:p>
    <w:p w:rsidR="007B59DA" w:rsidRDefault="007B59DA"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lastRenderedPageBreak/>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lastRenderedPageBreak/>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w:t>
      </w:r>
      <w:r w:rsidR="003E689C">
        <w:rPr>
          <w:rFonts w:ascii="Verdana" w:hAnsi="Verdana"/>
          <w:sz w:val="18"/>
          <w:szCs w:val="18"/>
        </w:rPr>
        <w:lastRenderedPageBreak/>
        <w:t xml:space="preserve">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BC2AD4" w:rsidRDefault="00BC2AD4" w:rsidP="006A3E73">
      <w:pPr>
        <w:spacing w:after="120" w:line="252" w:lineRule="auto"/>
        <w:ind w:firstLine="0"/>
        <w:jc w:val="both"/>
        <w:rPr>
          <w:rFonts w:ascii="Verdana" w:hAnsi="Verdana"/>
          <w:b/>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w:t>
      </w:r>
      <w:r w:rsidRPr="00532259">
        <w:rPr>
          <w:rFonts w:ascii="Verdana" w:hAnsi="Verdana"/>
          <w:bCs/>
          <w:sz w:val="18"/>
          <w:szCs w:val="18"/>
        </w:rPr>
        <w:lastRenderedPageBreak/>
        <w:t>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Pr="007908DA"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lastRenderedPageBreak/>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C5526B">
        <w:rPr>
          <w:rFonts w:ascii="Verdana" w:hAnsi="Verdana"/>
          <w:b/>
          <w:sz w:val="16"/>
          <w:szCs w:val="16"/>
          <w:lang w:eastAsia="ar-SA"/>
        </w:rPr>
        <w:t>18.12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Miasta Wojkowice, </w:t>
      </w:r>
      <w:bookmarkStart w:id="0" w:name="_GoBack"/>
      <w:bookmarkEnd w:id="0"/>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E24338">
        <w:rPr>
          <w:rFonts w:ascii="Verdana" w:hAnsi="Verdana"/>
          <w:sz w:val="16"/>
          <w:szCs w:val="16"/>
        </w:rPr>
        <w:t xml:space="preserve"> w Katowicach</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48" w:rsidRDefault="00EB3648">
      <w:pPr>
        <w:spacing w:line="240" w:lineRule="auto"/>
      </w:pPr>
      <w:r>
        <w:separator/>
      </w:r>
    </w:p>
  </w:endnote>
  <w:endnote w:type="continuationSeparator" w:id="0">
    <w:p w:rsidR="00EB3648" w:rsidRDefault="00EB3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7B59DA">
          <w:rPr>
            <w:noProof/>
          </w:rPr>
          <w:t>9</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48" w:rsidRDefault="00EB3648">
      <w:pPr>
        <w:spacing w:line="240" w:lineRule="auto"/>
      </w:pPr>
      <w:r>
        <w:separator/>
      </w:r>
    </w:p>
  </w:footnote>
  <w:footnote w:type="continuationSeparator" w:id="0">
    <w:p w:rsidR="00EB3648" w:rsidRDefault="00EB36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706D"/>
    <w:rsid w:val="0094159E"/>
    <w:rsid w:val="0094346B"/>
    <w:rsid w:val="00946F35"/>
    <w:rsid w:val="0095013B"/>
    <w:rsid w:val="00953AF4"/>
    <w:rsid w:val="009549F4"/>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573F"/>
    <w:rsid w:val="00D43F68"/>
    <w:rsid w:val="00D5105A"/>
    <w:rsid w:val="00D510A5"/>
    <w:rsid w:val="00D72750"/>
    <w:rsid w:val="00D73F36"/>
    <w:rsid w:val="00D74E97"/>
    <w:rsid w:val="00D82432"/>
    <w:rsid w:val="00D86CA6"/>
    <w:rsid w:val="00D876E8"/>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3C84-EF66-4D6E-8C28-D3261626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241</TotalTime>
  <Pages>10</Pages>
  <Words>5417</Words>
  <Characters>32502</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35</cp:revision>
  <cp:lastPrinted>2025-11-12T09:53:00Z</cp:lastPrinted>
  <dcterms:created xsi:type="dcterms:W3CDTF">2024-08-20T08:30:00Z</dcterms:created>
  <dcterms:modified xsi:type="dcterms:W3CDTF">2025-11-12T12:20:00Z</dcterms:modified>
</cp:coreProperties>
</file>